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2D8C7">
      <w:pPr>
        <w:pStyle w:val="10"/>
        <w:ind w:left="2880" w:leftChars="0" w:firstLine="720" w:firstLineChars="0"/>
        <w:jc w:val="both"/>
        <w:rPr>
          <w:rFonts w:hint="default" w:ascii="Times New Roman" w:hAnsi="Times New Roman" w:cs="Times New Roman"/>
          <w:sz w:val="24"/>
          <w:szCs w:val="24"/>
        </w:rPr>
      </w:pPr>
      <w:bookmarkStart w:id="0" w:name="_7ytbdsph2z7o" w:colFirst="0" w:colLast="0"/>
      <w:bookmarkEnd w:id="0"/>
      <w:r>
        <w:rPr>
          <w:rFonts w:hint="default" w:cs="Times New Roman"/>
          <w:sz w:val="24"/>
          <w:szCs w:val="24"/>
          <w:lang w:val="it-IT"/>
        </w:rPr>
        <w:t xml:space="preserve">        </w:t>
      </w:r>
      <w:r>
        <w:rPr>
          <w:rFonts w:hint="default" w:ascii="Times New Roman" w:hAnsi="Times New Roman" w:cs="Times New Roman"/>
          <w:sz w:val="24"/>
          <w:szCs w:val="24"/>
        </w:rPr>
        <w:drawing>
          <wp:inline distT="0" distB="0" distL="0" distR="0">
            <wp:extent cx="435610" cy="427355"/>
            <wp:effectExtent l="0" t="0" r="6350" b="14605"/>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435610" cy="427355"/>
                    </a:xfrm>
                    <a:prstGeom prst="rect">
                      <a:avLst/>
                    </a:prstGeom>
                  </pic:spPr>
                </pic:pic>
              </a:graphicData>
            </a:graphic>
          </wp:inline>
        </w:drawing>
      </w:r>
    </w:p>
    <w:p w14:paraId="28437FD3">
      <w:pPr>
        <w:tabs>
          <w:tab w:val="right" w:pos="9638"/>
        </w:tabs>
        <w:suppressAutoHyphens/>
        <w:autoSpaceDE w:val="0"/>
        <w:spacing w:after="0" w:line="240" w:lineRule="auto"/>
        <w:jc w:val="both"/>
        <w:rPr>
          <w:rFonts w:hint="default" w:ascii="Times New Roman" w:hAnsi="Times New Roman" w:eastAsia="Times New Roman" w:cs="Times New Roman"/>
          <w:sz w:val="24"/>
          <w:szCs w:val="24"/>
          <w:lang w:eastAsia="it-IT"/>
        </w:rPr>
      </w:pPr>
    </w:p>
    <w:p w14:paraId="351F8E5B">
      <w:pPr>
        <w:tabs>
          <w:tab w:val="right" w:pos="9638"/>
        </w:tabs>
        <w:suppressAutoHyphens/>
        <w:autoSpaceDE w:val="0"/>
        <w:spacing w:after="0" w:line="240" w:lineRule="auto"/>
        <w:jc w:val="center"/>
        <w:rPr>
          <w:rFonts w:hint="default" w:ascii="Times New Roman" w:hAnsi="Times New Roman" w:eastAsia="Times New Roman" w:cs="Times New Roman"/>
          <w:sz w:val="24"/>
          <w:szCs w:val="24"/>
          <w:lang w:eastAsia="it-IT"/>
        </w:rPr>
      </w:pPr>
      <w:r>
        <w:rPr>
          <w:rFonts w:hint="default" w:ascii="Times New Roman" w:hAnsi="Times New Roman" w:eastAsia="Times New Roman" w:cs="Times New Roman"/>
          <w:sz w:val="24"/>
          <w:szCs w:val="24"/>
          <w:lang w:eastAsia="it-IT"/>
        </w:rPr>
        <w:t>Istituto Comprensivo 2 Ponte Omero</w:t>
      </w:r>
    </w:p>
    <w:p w14:paraId="11F39A1A">
      <w:pPr>
        <w:tabs>
          <w:tab w:val="right" w:pos="9638"/>
        </w:tabs>
        <w:suppressAutoHyphens/>
        <w:autoSpaceDE w:val="0"/>
        <w:spacing w:after="0" w:line="240" w:lineRule="auto"/>
        <w:jc w:val="center"/>
        <w:rPr>
          <w:rFonts w:hint="default" w:ascii="Times New Roman" w:hAnsi="Times New Roman" w:eastAsia="Times New Roman" w:cs="Times New Roman"/>
          <w:sz w:val="24"/>
          <w:szCs w:val="24"/>
          <w:lang w:eastAsia="it-IT"/>
        </w:rPr>
      </w:pPr>
      <w:r>
        <w:rPr>
          <w:rFonts w:hint="default" w:ascii="Times New Roman" w:hAnsi="Times New Roman" w:eastAsia="Times New Roman" w:cs="Times New Roman"/>
          <w:sz w:val="24"/>
          <w:szCs w:val="24"/>
          <w:lang w:eastAsia="it-IT"/>
        </w:rPr>
        <w:t>via Mazzini 29 -80038 Pomigliano d’Arco (NA)</w:t>
      </w:r>
    </w:p>
    <w:p w14:paraId="33D1A786">
      <w:pPr>
        <w:tabs>
          <w:tab w:val="right" w:pos="9638"/>
        </w:tabs>
        <w:suppressAutoHyphens/>
        <w:autoSpaceDE w:val="0"/>
        <w:spacing w:after="0" w:line="240" w:lineRule="auto"/>
        <w:jc w:val="center"/>
        <w:rPr>
          <w:rFonts w:hint="default" w:ascii="Times New Roman" w:hAnsi="Times New Roman" w:eastAsia="Times New Roman" w:cs="Times New Roman"/>
          <w:sz w:val="24"/>
          <w:szCs w:val="24"/>
          <w:lang w:eastAsia="it-IT"/>
        </w:rPr>
      </w:pPr>
      <w:r>
        <w:rPr>
          <w:rFonts w:hint="default" w:ascii="Times New Roman" w:hAnsi="Times New Roman" w:eastAsia="Times New Roman" w:cs="Times New Roman"/>
          <w:sz w:val="24"/>
          <w:szCs w:val="24"/>
          <w:lang w:eastAsia="it-IT"/>
        </w:rPr>
        <w:t>Ambito NA 19 Cod. Fisc. 93092840631 Cod.Mecc. NAIC8JC003</w:t>
      </w:r>
    </w:p>
    <w:p w14:paraId="5A233F57">
      <w:pPr>
        <w:tabs>
          <w:tab w:val="right" w:pos="9638"/>
        </w:tabs>
        <w:suppressAutoHyphens/>
        <w:autoSpaceDE w:val="0"/>
        <w:spacing w:after="0" w:line="240" w:lineRule="auto"/>
        <w:jc w:val="center"/>
        <w:rPr>
          <w:rFonts w:hint="default" w:ascii="Times New Roman" w:hAnsi="Times New Roman" w:eastAsia="Times New Roman" w:cs="Times New Roman"/>
          <w:sz w:val="24"/>
          <w:szCs w:val="24"/>
          <w:lang w:eastAsia="it-IT"/>
        </w:rPr>
      </w:pPr>
      <w:r>
        <w:rPr>
          <w:rFonts w:hint="default" w:ascii="Times New Roman" w:hAnsi="Times New Roman" w:eastAsia="Times New Roman" w:cs="Times New Roman"/>
          <w:sz w:val="24"/>
          <w:szCs w:val="24"/>
          <w:lang w:eastAsia="it-IT"/>
        </w:rPr>
        <w:t>Tel./ Fax 081 3177307 e-mail:naic8jc003@istruzione.it</w:t>
      </w:r>
    </w:p>
    <w:p w14:paraId="384E20DB">
      <w:pPr>
        <w:tabs>
          <w:tab w:val="right" w:pos="9638"/>
        </w:tabs>
        <w:suppressAutoHyphens/>
        <w:autoSpaceDE w:val="0"/>
        <w:spacing w:after="0" w:line="240" w:lineRule="auto"/>
        <w:jc w:val="center"/>
        <w:rPr>
          <w:rFonts w:hint="default" w:ascii="Times New Roman" w:hAnsi="Times New Roman" w:eastAsia="Times New Roman" w:cs="Times New Roman"/>
          <w:sz w:val="24"/>
          <w:szCs w:val="24"/>
          <w:lang w:eastAsia="it-IT"/>
        </w:rPr>
      </w:pPr>
      <w:r>
        <w:rPr>
          <w:rFonts w:hint="default" w:ascii="Times New Roman" w:hAnsi="Times New Roman" w:eastAsia="Times New Roman" w:cs="Times New Roman"/>
          <w:sz w:val="24"/>
          <w:szCs w:val="24"/>
          <w:lang w:eastAsia="it-IT"/>
        </w:rPr>
        <w:t xml:space="preserve">pec :naic8jc003@pec.istruzione.it sito web: </w:t>
      </w:r>
      <w:r>
        <w:rPr>
          <w:rFonts w:hint="default" w:ascii="Times New Roman" w:hAnsi="Times New Roman" w:eastAsia="Times New Roman" w:cs="Times New Roman"/>
          <w:sz w:val="24"/>
          <w:szCs w:val="24"/>
          <w:lang w:eastAsia="it-IT"/>
        </w:rPr>
        <w:fldChar w:fldCharType="begin"/>
      </w:r>
      <w:r>
        <w:rPr>
          <w:rFonts w:hint="default" w:ascii="Times New Roman" w:hAnsi="Times New Roman" w:eastAsia="Times New Roman" w:cs="Times New Roman"/>
          <w:sz w:val="24"/>
          <w:szCs w:val="24"/>
          <w:lang w:eastAsia="it-IT"/>
        </w:rPr>
        <w:instrText xml:space="preserve"> HYPERLINK "http://www.icdueponteomero.edu.it" </w:instrText>
      </w:r>
      <w:r>
        <w:rPr>
          <w:rFonts w:hint="default" w:ascii="Times New Roman" w:hAnsi="Times New Roman" w:eastAsia="Times New Roman" w:cs="Times New Roman"/>
          <w:sz w:val="24"/>
          <w:szCs w:val="24"/>
          <w:lang w:eastAsia="it-IT"/>
        </w:rPr>
        <w:fldChar w:fldCharType="separate"/>
      </w:r>
      <w:r>
        <w:rPr>
          <w:rStyle w:val="11"/>
          <w:rFonts w:hint="default" w:ascii="Times New Roman" w:hAnsi="Times New Roman" w:eastAsia="Times New Roman" w:cs="Times New Roman"/>
          <w:sz w:val="24"/>
          <w:szCs w:val="24"/>
          <w:lang w:eastAsia="it-IT"/>
        </w:rPr>
        <w:t>www.icdueponteomero.edu.it</w:t>
      </w:r>
      <w:r>
        <w:rPr>
          <w:rFonts w:hint="default" w:ascii="Times New Roman" w:hAnsi="Times New Roman" w:eastAsia="Times New Roman" w:cs="Times New Roman"/>
          <w:sz w:val="24"/>
          <w:szCs w:val="24"/>
          <w:lang w:eastAsia="it-IT"/>
        </w:rPr>
        <w:fldChar w:fldCharType="end"/>
      </w:r>
    </w:p>
    <w:p w14:paraId="7F7698A6">
      <w:pPr>
        <w:tabs>
          <w:tab w:val="right" w:pos="9638"/>
        </w:tabs>
        <w:suppressAutoHyphens/>
        <w:autoSpaceDE w:val="0"/>
        <w:spacing w:after="0" w:line="240" w:lineRule="auto"/>
        <w:jc w:val="both"/>
        <w:rPr>
          <w:rFonts w:hint="default" w:ascii="Times New Roman" w:hAnsi="Times New Roman" w:eastAsia="Times New Roman" w:cs="Times New Roman"/>
          <w:sz w:val="24"/>
          <w:szCs w:val="24"/>
          <w:lang w:eastAsia="it-IT"/>
        </w:rPr>
      </w:pPr>
    </w:p>
    <w:p w14:paraId="36A34AC4">
      <w:pPr>
        <w:tabs>
          <w:tab w:val="right" w:pos="9638"/>
        </w:tabs>
        <w:suppressAutoHyphens/>
        <w:autoSpaceDE w:val="0"/>
        <w:spacing w:after="0" w:line="240" w:lineRule="auto"/>
        <w:jc w:val="both"/>
        <w:rPr>
          <w:rFonts w:hint="default" w:ascii="Times New Roman" w:hAnsi="Times New Roman" w:eastAsia="Times New Roman" w:cs="Times New Roman"/>
          <w:sz w:val="24"/>
          <w:szCs w:val="24"/>
          <w:lang w:eastAsia="it-IT"/>
        </w:rPr>
      </w:pPr>
    </w:p>
    <w:p w14:paraId="2CE9B799">
      <w:pPr>
        <w:tabs>
          <w:tab w:val="right" w:pos="9638"/>
        </w:tabs>
        <w:suppressAutoHyphens/>
        <w:autoSpaceDE w:val="0"/>
        <w:spacing w:after="0" w:line="240" w:lineRule="auto"/>
        <w:jc w:val="both"/>
        <w:rPr>
          <w:rFonts w:hint="default" w:ascii="Times New Roman" w:hAnsi="Times New Roman" w:cs="Times New Roman"/>
          <w:color w:val="auto"/>
          <w:sz w:val="24"/>
          <w:szCs w:val="24"/>
          <w:lang w:val="it-IT"/>
        </w:rPr>
      </w:pPr>
      <w:r>
        <w:rPr>
          <w:rFonts w:hint="default" w:ascii="Times New Roman" w:hAnsi="Times New Roman" w:cs="Times New Roman"/>
          <w:color w:val="auto"/>
          <w:sz w:val="24"/>
          <w:szCs w:val="24"/>
        </w:rPr>
        <w:t xml:space="preserve">Prot. n. </w:t>
      </w:r>
      <w:r>
        <w:rPr>
          <w:rFonts w:hint="default" w:ascii="Times New Roman" w:hAnsi="Times New Roman" w:cs="Times New Roman"/>
          <w:color w:val="auto"/>
          <w:sz w:val="24"/>
          <w:szCs w:val="24"/>
          <w:lang w:val="it-IT"/>
        </w:rPr>
        <w:t xml:space="preserve">     </w:t>
      </w:r>
      <w:r>
        <w:rPr>
          <w:rFonts w:hint="default" w:ascii="Times New Roman" w:hAnsi="Times New Roman" w:eastAsia="sans-serif" w:cs="Times New Roman"/>
          <w:color w:val="auto"/>
          <w:sz w:val="24"/>
          <w:szCs w:val="24"/>
          <w:lang w:val="it-IT"/>
        </w:rPr>
        <w:t xml:space="preserve">1582/IV-V </w:t>
      </w:r>
      <w:r>
        <w:rPr>
          <w:rFonts w:hint="default" w:ascii="Times New Roman" w:hAnsi="Times New Roman" w:cs="Times New Roman"/>
          <w:color w:val="auto"/>
          <w:sz w:val="24"/>
          <w:szCs w:val="24"/>
          <w:lang w:val="it-IT"/>
        </w:rPr>
        <w:t xml:space="preserve">                 </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it-IT"/>
        </w:rPr>
        <w:t xml:space="preserve">  </w:t>
      </w:r>
      <w:r>
        <w:rPr>
          <w:rFonts w:hint="default" w:ascii="Times New Roman" w:hAnsi="Times New Roman" w:cs="Times New Roman"/>
          <w:color w:val="auto"/>
          <w:sz w:val="24"/>
          <w:szCs w:val="24"/>
        </w:rPr>
        <w:t>Pomigliano d’Arco,</w:t>
      </w:r>
      <w:r>
        <w:rPr>
          <w:rFonts w:hint="default" w:ascii="Times New Roman" w:hAnsi="Times New Roman" w:cs="Times New Roman"/>
          <w:color w:val="auto"/>
          <w:sz w:val="24"/>
          <w:szCs w:val="24"/>
          <w:lang w:val="it-IT"/>
        </w:rPr>
        <w:t xml:space="preserve"> 10/10/2026</w:t>
      </w:r>
    </w:p>
    <w:p w14:paraId="4DA25190">
      <w:pPr>
        <w:tabs>
          <w:tab w:val="right" w:pos="9638"/>
        </w:tabs>
        <w:suppressAutoHyphens/>
        <w:autoSpaceDE w:val="0"/>
        <w:spacing w:after="0" w:line="240" w:lineRule="auto"/>
        <w:jc w:val="both"/>
        <w:rPr>
          <w:rFonts w:hint="default" w:ascii="Times New Roman" w:hAnsi="Times New Roman" w:cs="Times New Roman"/>
          <w:color w:val="auto"/>
          <w:sz w:val="24"/>
          <w:szCs w:val="24"/>
          <w:lang w:val="it-IT"/>
        </w:rPr>
      </w:pPr>
    </w:p>
    <w:p w14:paraId="6259223F">
      <w:pPr>
        <w:tabs>
          <w:tab w:val="right" w:pos="9638"/>
        </w:tabs>
        <w:suppressAutoHyphens/>
        <w:autoSpaceDE w:val="0"/>
        <w:spacing w:after="0" w:line="240" w:lineRule="auto"/>
        <w:jc w:val="both"/>
        <w:rPr>
          <w:rFonts w:hint="default" w:ascii="Times New Roman" w:hAnsi="Times New Roman" w:cs="Times New Roman"/>
          <w:color w:val="auto"/>
          <w:sz w:val="24"/>
          <w:szCs w:val="24"/>
          <w:lang w:val="it-IT"/>
        </w:rPr>
      </w:pPr>
    </w:p>
    <w:p w14:paraId="71D193A3">
      <w:pPr>
        <w:autoSpaceDE w:val="0"/>
        <w:autoSpaceDN w:val="0"/>
        <w:adjustRightInd w:val="0"/>
        <w:spacing w:after="0" w:line="240" w:lineRule="auto"/>
        <w:jc w:val="right"/>
        <w:rPr>
          <w:rFonts w:hint="default" w:ascii="Times New Roman" w:hAnsi="Times New Roman" w:cs="Times New Roman"/>
          <w:color w:val="000000"/>
          <w:sz w:val="24"/>
          <w:szCs w:val="24"/>
        </w:rPr>
      </w:pPr>
      <w:r>
        <w:rPr>
          <w:rFonts w:hint="default" w:ascii="Times New Roman" w:hAnsi="Times New Roman" w:cs="Times New Roman"/>
          <w:color w:val="auto"/>
          <w:sz w:val="24"/>
          <w:szCs w:val="24"/>
          <w:lang w:val="it-IT"/>
        </w:rPr>
        <w:tab/>
      </w:r>
      <w:r>
        <w:rPr>
          <w:rFonts w:hint="default" w:ascii="Times New Roman" w:hAnsi="Times New Roman" w:cs="Times New Roman"/>
          <w:color w:val="000000"/>
          <w:sz w:val="24"/>
          <w:szCs w:val="24"/>
        </w:rPr>
        <w:t>All'albo del sito WEB</w:t>
      </w:r>
    </w:p>
    <w:p w14:paraId="328C2B7B">
      <w:pPr>
        <w:tabs>
          <w:tab w:val="right" w:pos="9639"/>
        </w:tabs>
        <w:wordWrap w:val="0"/>
        <w:autoSpaceDE w:val="0"/>
        <w:autoSpaceDN w:val="0"/>
        <w:adjustRightInd w:val="0"/>
        <w:spacing w:after="0" w:line="240" w:lineRule="auto"/>
        <w:jc w:val="right"/>
        <w:rPr>
          <w:rFonts w:hint="default" w:ascii="Times New Roman" w:hAnsi="Times New Roman" w:cs="Times New Roman"/>
          <w:bCs/>
          <w:color w:val="000000"/>
          <w:sz w:val="24"/>
          <w:szCs w:val="24"/>
          <w:lang w:val="it-IT"/>
        </w:rPr>
      </w:pPr>
      <w:r>
        <w:rPr>
          <w:rFonts w:hint="default" w:ascii="Times New Roman" w:hAnsi="Times New Roman" w:cs="Times New Roman"/>
          <w:bCs/>
          <w:color w:val="000000"/>
          <w:sz w:val="24"/>
          <w:szCs w:val="24"/>
        </w:rPr>
        <w:t>A</w:t>
      </w:r>
      <w:r>
        <w:rPr>
          <w:rFonts w:hint="default" w:ascii="Times New Roman" w:hAnsi="Times New Roman" w:cs="Times New Roman"/>
          <w:bCs/>
          <w:color w:val="000000"/>
          <w:sz w:val="24"/>
          <w:szCs w:val="24"/>
          <w:lang w:val="it-IT"/>
        </w:rPr>
        <w:t>l personale</w:t>
      </w:r>
    </w:p>
    <w:p w14:paraId="6A427238">
      <w:pPr>
        <w:tabs>
          <w:tab w:val="right" w:pos="9639"/>
        </w:tabs>
        <w:wordWrap w:val="0"/>
        <w:autoSpaceDE w:val="0"/>
        <w:autoSpaceDN w:val="0"/>
        <w:adjustRightInd w:val="0"/>
        <w:spacing w:after="0" w:line="240" w:lineRule="auto"/>
        <w:jc w:val="right"/>
        <w:rPr>
          <w:rFonts w:hint="default" w:ascii="Times New Roman" w:hAnsi="Times New Roman" w:cs="Times New Roman"/>
          <w:bCs/>
          <w:color w:val="000000"/>
          <w:sz w:val="24"/>
          <w:szCs w:val="24"/>
          <w:lang w:val="it-IT"/>
        </w:rPr>
      </w:pPr>
      <w:r>
        <w:rPr>
          <w:rFonts w:hint="default" w:ascii="Times New Roman" w:hAnsi="Times New Roman" w:cs="Times New Roman"/>
          <w:bCs/>
          <w:color w:val="000000"/>
          <w:sz w:val="24"/>
          <w:szCs w:val="24"/>
          <w:lang w:val="it-IT"/>
        </w:rPr>
        <w:t>Agli Atti</w:t>
      </w:r>
    </w:p>
    <w:p w14:paraId="53230519">
      <w:pPr>
        <w:tabs>
          <w:tab w:val="right" w:pos="9639"/>
        </w:tabs>
        <w:wordWrap w:val="0"/>
        <w:autoSpaceDE w:val="0"/>
        <w:autoSpaceDN w:val="0"/>
        <w:adjustRightInd w:val="0"/>
        <w:spacing w:after="0" w:line="240" w:lineRule="auto"/>
        <w:jc w:val="right"/>
        <w:rPr>
          <w:rFonts w:hint="default" w:ascii="Times New Roman" w:hAnsi="Times New Roman" w:cs="Times New Roman"/>
          <w:bCs/>
          <w:color w:val="000000"/>
          <w:sz w:val="24"/>
          <w:szCs w:val="24"/>
          <w:lang w:val="it-IT"/>
        </w:rPr>
      </w:pPr>
      <w:r>
        <w:rPr>
          <w:rFonts w:hint="default" w:ascii="Times New Roman" w:hAnsi="Times New Roman" w:cs="Times New Roman"/>
          <w:bCs/>
          <w:color w:val="000000"/>
          <w:sz w:val="24"/>
          <w:szCs w:val="24"/>
          <w:lang w:val="it-IT"/>
        </w:rPr>
        <w:t>Al DSGA</w:t>
      </w:r>
    </w:p>
    <w:p w14:paraId="03E5BD77">
      <w:pPr>
        <w:tabs>
          <w:tab w:val="right" w:pos="9639"/>
        </w:tabs>
        <w:wordWrap/>
        <w:autoSpaceDE w:val="0"/>
        <w:autoSpaceDN w:val="0"/>
        <w:adjustRightInd w:val="0"/>
        <w:spacing w:after="0" w:line="240" w:lineRule="auto"/>
        <w:jc w:val="right"/>
        <w:rPr>
          <w:rFonts w:hint="default" w:ascii="Times New Roman" w:hAnsi="Times New Roman" w:cs="Times New Roman"/>
          <w:bCs/>
          <w:color w:val="000000"/>
          <w:sz w:val="24"/>
          <w:szCs w:val="24"/>
          <w:lang w:val="it-IT"/>
        </w:rPr>
      </w:pPr>
      <w:r>
        <w:rPr>
          <w:rFonts w:hint="default" w:ascii="Times New Roman" w:hAnsi="Times New Roman" w:eastAsia="Calibri" w:cs="Times New Roman"/>
          <w:color w:val="000000"/>
          <w:sz w:val="24"/>
          <w:szCs w:val="24"/>
        </w:rPr>
        <w:t>Sezione Amministrazione trasparente</w:t>
      </w:r>
    </w:p>
    <w:p w14:paraId="375EB749">
      <w:pPr>
        <w:tabs>
          <w:tab w:val="right" w:pos="9638"/>
        </w:tabs>
        <w:suppressAutoHyphens/>
        <w:autoSpaceDE w:val="0"/>
        <w:spacing w:after="0" w:line="240" w:lineRule="auto"/>
        <w:jc w:val="both"/>
        <w:rPr>
          <w:rFonts w:hint="default" w:ascii="Times New Roman" w:hAnsi="Times New Roman" w:cs="Times New Roman"/>
          <w:color w:val="auto"/>
          <w:sz w:val="24"/>
          <w:szCs w:val="24"/>
          <w:lang w:val="it-IT"/>
        </w:rPr>
      </w:pPr>
      <w:bookmarkStart w:id="13" w:name="_GoBack"/>
      <w:bookmarkEnd w:id="13"/>
    </w:p>
    <w:p w14:paraId="00000006">
      <w:pPr>
        <w:pStyle w:val="2"/>
        <w:jc w:val="both"/>
        <w:rPr>
          <w:rFonts w:hint="default" w:ascii="Times New Roman" w:hAnsi="Times New Roman" w:cs="Times New Roman"/>
          <w:sz w:val="24"/>
          <w:szCs w:val="24"/>
        </w:rPr>
      </w:pPr>
      <w:r>
        <w:rPr>
          <w:rFonts w:hint="default" w:ascii="Times New Roman" w:hAnsi="Times New Roman" w:cs="Times New Roman"/>
          <w:sz w:val="24"/>
          <w:szCs w:val="24"/>
          <w:rtl w:val="0"/>
          <w:lang w:val="it-IT"/>
        </w:rPr>
        <w:t>OGGETTO:</w:t>
      </w:r>
      <w:r>
        <w:rPr>
          <w:rFonts w:hint="default" w:ascii="Times New Roman" w:hAnsi="Times New Roman" w:cs="Times New Roman"/>
          <w:sz w:val="24"/>
          <w:szCs w:val="24"/>
          <w:rtl w:val="0"/>
        </w:rPr>
        <w:t>Regolamento per la selezione ed il conferimento di incarichi ad esperti e tutor interni/esterni</w:t>
      </w:r>
    </w:p>
    <w:p w14:paraId="00000007">
      <w:pPr>
        <w:jc w:val="both"/>
        <w:rPr>
          <w:rFonts w:hint="default" w:ascii="Times New Roman" w:hAnsi="Times New Roman" w:cs="Times New Roman"/>
          <w:sz w:val="24"/>
          <w:szCs w:val="24"/>
          <w:lang w:val="it-IT"/>
        </w:rPr>
      </w:pPr>
      <w:r>
        <w:rPr>
          <w:rFonts w:hint="default" w:ascii="Times New Roman" w:hAnsi="Times New Roman" w:cs="Times New Roman"/>
          <w:sz w:val="24"/>
          <w:szCs w:val="24"/>
          <w:rtl w:val="0"/>
        </w:rPr>
        <w:t xml:space="preserve">Approvato dal Collegio dei Docenti con Delibera n. </w:t>
      </w:r>
      <w:r>
        <w:rPr>
          <w:rFonts w:hint="default" w:ascii="Times New Roman" w:hAnsi="Times New Roman" w:cs="Times New Roman"/>
          <w:sz w:val="24"/>
          <w:szCs w:val="24"/>
          <w:rtl w:val="0"/>
          <w:lang w:val="it-IT"/>
        </w:rPr>
        <w:t>8</w:t>
      </w:r>
      <w:r>
        <w:rPr>
          <w:rFonts w:hint="default" w:ascii="Times New Roman" w:hAnsi="Times New Roman" w:cs="Times New Roman"/>
          <w:sz w:val="24"/>
          <w:szCs w:val="24"/>
          <w:rtl w:val="0"/>
        </w:rPr>
        <w:t xml:space="preserve"> del </w:t>
      </w:r>
      <w:r>
        <w:rPr>
          <w:rFonts w:hint="default" w:ascii="Times New Roman" w:hAnsi="Times New Roman" w:cs="Times New Roman"/>
          <w:sz w:val="24"/>
          <w:szCs w:val="24"/>
          <w:rtl w:val="0"/>
          <w:lang w:val="it-IT"/>
        </w:rPr>
        <w:t>02/09/2026</w:t>
      </w:r>
      <w:r>
        <w:rPr>
          <w:rFonts w:hint="default" w:ascii="Times New Roman" w:hAnsi="Times New Roman" w:cs="Times New Roman"/>
          <w:sz w:val="24"/>
          <w:szCs w:val="24"/>
          <w:rtl w:val="0"/>
        </w:rPr>
        <w:t xml:space="preserve"> </w:t>
      </w:r>
      <w:r>
        <w:rPr>
          <w:rFonts w:hint="default" w:ascii="Times New Roman" w:hAnsi="Times New Roman" w:cs="Times New Roman"/>
          <w:sz w:val="24"/>
          <w:szCs w:val="24"/>
          <w:rtl w:val="0"/>
          <w:lang w:val="it-IT"/>
        </w:rPr>
        <w:t xml:space="preserve">con il parere positivo del Commissario Straordinario </w:t>
      </w:r>
    </w:p>
    <w:p w14:paraId="0000000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5884A13A">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lang w:val="it-IT"/>
        </w:rPr>
        <w:t>V</w:t>
      </w:r>
      <w:r>
        <w:rPr>
          <w:rFonts w:hint="default" w:ascii="Times New Roman" w:hAnsi="Times New Roman" w:cs="Times New Roman"/>
          <w:sz w:val="24"/>
          <w:szCs w:val="24"/>
          <w:rtl w:val="0"/>
        </w:rPr>
        <w:t xml:space="preserve">isto il D.Lgs. 129/2018, ai sensi del quale le istituzioni scolastiche possono stipulare contratti di prestazione d'opera con esperti per particolari attività ed insegnamenti, al fine di garantire l'arricchimento dell'offerta formativa, nonché la realizzazione di specifici programmi di ricerca e di sperimentazione; </w:t>
      </w:r>
    </w:p>
    <w:p w14:paraId="40E263AF">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rPr>
        <w:t>Visto che lo stesso prevede che il Consiglio di istituto</w:t>
      </w:r>
      <w:r>
        <w:rPr>
          <w:rFonts w:hint="default" w:ascii="Times New Roman" w:hAnsi="Times New Roman" w:cs="Times New Roman"/>
          <w:sz w:val="24"/>
          <w:szCs w:val="24"/>
          <w:rtl w:val="0"/>
          <w:lang w:val="it-IT"/>
        </w:rPr>
        <w:t>/Commissario Straordinario</w:t>
      </w:r>
      <w:r>
        <w:rPr>
          <w:rFonts w:hint="default" w:ascii="Times New Roman" w:hAnsi="Times New Roman" w:cs="Times New Roman"/>
          <w:sz w:val="24"/>
          <w:szCs w:val="24"/>
          <w:rtl w:val="0"/>
        </w:rPr>
        <w:t xml:space="preserve">, sentito il collegio dei docenti, disciplini le procedure e i criteri di scelta del contraente, al fine di garantire la qualità della prestazione e il limite massimo dei compensi attribuibili in relazione al tipo di attività e all'impegno professionale richiesto; </w:t>
      </w:r>
    </w:p>
    <w:p w14:paraId="036B61BA">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rPr>
        <w:t>Visto che ai sensi dello stesso spettano al Consiglio di istituto</w:t>
      </w:r>
      <w:r>
        <w:rPr>
          <w:rFonts w:hint="default" w:ascii="Times New Roman" w:hAnsi="Times New Roman" w:cs="Times New Roman"/>
          <w:sz w:val="24"/>
          <w:szCs w:val="24"/>
          <w:rtl w:val="0"/>
          <w:lang w:val="it-IT"/>
        </w:rPr>
        <w:t>/Commissario straordinario</w:t>
      </w:r>
      <w:r>
        <w:rPr>
          <w:rFonts w:hint="default" w:ascii="Times New Roman" w:hAnsi="Times New Roman" w:cs="Times New Roman"/>
          <w:sz w:val="24"/>
          <w:szCs w:val="24"/>
          <w:rtl w:val="0"/>
        </w:rPr>
        <w:t xml:space="preserve"> le deliberazioni relative alla determinazione dei criteri e dei limiti per lo svolgimento, da parte del dirigente, dell'attività negoziale inerente i contratti di prestazione d'opera con esperti per particolari attività ed insegnamenti; </w:t>
      </w:r>
    </w:p>
    <w:p w14:paraId="3C59F03A">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Visto l'art. 40 della legge 27 dicembre 1997, n. 449, che consente la stipula di contratti a prestazioni d'opera con esperti per particolari attività ed insegnamenti per sperimentazioni didattiche ed ordinamentali per l'ampliamento dell'offerta formativa e per l'avvio dell'autonomia scolastica; </w:t>
      </w:r>
      <w:r>
        <w:rPr>
          <w:rFonts w:hint="default" w:ascii="Times New Roman" w:hAnsi="Times New Roman" w:cs="Times New Roman"/>
          <w:sz w:val="24"/>
          <w:szCs w:val="24"/>
          <w:rtl w:val="0"/>
          <w:lang w:val="it-IT"/>
        </w:rPr>
        <w:t>ù</w:t>
      </w:r>
      <w:r>
        <w:rPr>
          <w:rFonts w:hint="default" w:ascii="Times New Roman" w:hAnsi="Times New Roman" w:cs="Times New Roman"/>
          <w:sz w:val="24"/>
          <w:szCs w:val="24"/>
          <w:rtl w:val="0"/>
        </w:rPr>
        <w:t xml:space="preserve">Visto l'art. 14, comma 3, del Regolamento in materia di autonomia scolastica, approvato con D.P.R. 8.3.1999, n. 275; </w:t>
      </w:r>
    </w:p>
    <w:p w14:paraId="4F8E8BD4">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Visto l'art. 7 commi 6 e seguenti del D.Lgs. 30 marzo 2001 n. 165; </w:t>
      </w:r>
    </w:p>
    <w:p w14:paraId="5C6A72EC">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Vista la Circolare n. 2 dell'11 marzo 2008 del Dipartimento della Funzione Pubblica; </w:t>
      </w:r>
    </w:p>
    <w:p w14:paraId="6C282850">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rPr>
        <w:t>Visto il CCNL del comparto scuola sottoscritto in data 29/11/2007 e successive ii.mm.;</w:t>
      </w:r>
    </w:p>
    <w:p w14:paraId="403A7EB9">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Visto il Decreto Interministeriale n. 326 del 12/10/1995; Vista la Circolare del Ministero del Lavoro n. 2 del 2/02/2009; </w:t>
      </w:r>
    </w:p>
    <w:p w14:paraId="63295FC6">
      <w:pPr>
        <w:numPr>
          <w:ilvl w:val="0"/>
          <w:numId w:val="1"/>
        </w:numPr>
        <w:ind w:left="420" w:leftChars="0" w:hanging="420" w:firstLineChars="0"/>
        <w:jc w:val="both"/>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Vista la Circolare n. 3/2008 del Dipartimento Funzione Pubblica (linee guida in merito alla stipula di contratti di lavoro subordinato a T.D. nelle P.A.); </w:t>
      </w:r>
    </w:p>
    <w:p w14:paraId="00000009">
      <w:pPr>
        <w:numPr>
          <w:ilvl w:val="0"/>
          <w:numId w:val="1"/>
        </w:numPr>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tl w:val="0"/>
        </w:rPr>
        <w:t>Viste le linee guida del MIUR aggiornamento 09 ottobre 2020 recanti tra l'altro le modalità di selezione degli esperti interni ed esterni da impiegare nei progetti PON sia FSE che FESR; Considerata la necessità di reperire esperti interni e/o esterni con cui sottoscrivere contratti per attività previste nel Piano Triennale dell'Offerta Formativa;</w:t>
      </w:r>
    </w:p>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0B">
      <w:pPr>
        <w:jc w:val="both"/>
        <w:rPr>
          <w:rFonts w:hint="default" w:ascii="Times New Roman" w:hAnsi="Times New Roman" w:cs="Times New Roman"/>
          <w:sz w:val="24"/>
          <w:szCs w:val="24"/>
        </w:rPr>
      </w:pPr>
      <w:r>
        <w:rPr>
          <w:rFonts w:hint="default" w:ascii="Times New Roman" w:hAnsi="Times New Roman" w:cs="Times New Roman"/>
          <w:b/>
          <w:bCs/>
          <w:sz w:val="24"/>
          <w:szCs w:val="24"/>
          <w:rtl w:val="0"/>
          <w:lang w:val="it-IT"/>
        </w:rPr>
        <w:t>Si a</w:t>
      </w:r>
      <w:r>
        <w:rPr>
          <w:rFonts w:hint="default" w:ascii="Times New Roman" w:hAnsi="Times New Roman" w:cs="Times New Roman"/>
          <w:b/>
          <w:bCs/>
          <w:sz w:val="24"/>
          <w:szCs w:val="24"/>
          <w:rtl w:val="0"/>
        </w:rPr>
        <w:t xml:space="preserve">pprova ed </w:t>
      </w:r>
      <w:r>
        <w:rPr>
          <w:rFonts w:hint="default" w:ascii="Times New Roman" w:hAnsi="Times New Roman" w:cs="Times New Roman"/>
          <w:b/>
          <w:bCs/>
          <w:sz w:val="24"/>
          <w:szCs w:val="24"/>
          <w:rtl w:val="0"/>
          <w:lang w:val="it-IT"/>
        </w:rPr>
        <w:t>e</w:t>
      </w:r>
      <w:r>
        <w:rPr>
          <w:rFonts w:hint="default" w:ascii="Times New Roman" w:hAnsi="Times New Roman" w:cs="Times New Roman"/>
          <w:b/>
          <w:bCs/>
          <w:sz w:val="24"/>
          <w:szCs w:val="24"/>
          <w:rtl w:val="0"/>
        </w:rPr>
        <w:t>mana</w:t>
      </w:r>
      <w:r>
        <w:rPr>
          <w:rFonts w:hint="default" w:ascii="Times New Roman" w:hAnsi="Times New Roman" w:cs="Times New Roman"/>
          <w:sz w:val="24"/>
          <w:szCs w:val="24"/>
          <w:rtl w:val="0"/>
        </w:rPr>
        <w:t xml:space="preserve"> i seguenti criteri per la selezione ed il conferimento di incarichi ad esperti e tutor interni/esterni.</w:t>
      </w:r>
    </w:p>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0E">
      <w:pPr>
        <w:pStyle w:val="4"/>
        <w:jc w:val="both"/>
        <w:rPr>
          <w:rFonts w:hint="default" w:ascii="Times New Roman" w:hAnsi="Times New Roman" w:cs="Times New Roman"/>
          <w:sz w:val="24"/>
          <w:szCs w:val="24"/>
        </w:rPr>
      </w:pPr>
      <w:bookmarkStart w:id="1" w:name="_stpl714bfxbk" w:colFirst="0" w:colLast="0"/>
      <w:bookmarkEnd w:id="1"/>
      <w:r>
        <w:rPr>
          <w:rFonts w:hint="default" w:ascii="Times New Roman" w:hAnsi="Times New Roman" w:cs="Times New Roman"/>
          <w:sz w:val="24"/>
          <w:szCs w:val="24"/>
          <w:rtl w:val="0"/>
        </w:rPr>
        <w:t>Art. 1 (Finalità ed ambito di applicazione)</w:t>
      </w:r>
    </w:p>
    <w:p w14:paraId="0000000F">
      <w:pPr>
        <w:jc w:val="both"/>
        <w:rPr>
          <w:rFonts w:hint="default" w:ascii="Times New Roman" w:hAnsi="Times New Roman" w:cs="Times New Roman"/>
          <w:sz w:val="24"/>
          <w:szCs w:val="24"/>
        </w:rPr>
      </w:pPr>
      <w:r>
        <w:rPr>
          <w:rFonts w:hint="default" w:ascii="Times New Roman" w:hAnsi="Times New Roman" w:cs="Times New Roman"/>
          <w:sz w:val="24"/>
          <w:szCs w:val="24"/>
          <w:rtl w:val="0"/>
        </w:rPr>
        <w:t>Il presente documento contiene la disciplina per le procedure comparative, le modalità ed i criteri per il conferimento ad esperti e tutor, interni ed esterni all'istituzione scolastica, di incarichi di lavoro, anche all'interno delle attività finanziate con il Fondo Sociale Europeo (progetti PON POR POC FESR) e con i fondi del PNRR per attività specifiche e peculiari, che richiedono specifica competenza professionale, al fine di sopperire a particolari e motivate esigenze didattiche deliberate e rientranti nel Piano Triennale dell'Offerta Formativa (PTOF) o nel programma annuale ai sensi dell'art. 7, comma 6, del decreto legislativo 30 marzo 2001, n. 165, e dal D.I. 129/2018.</w:t>
      </w:r>
    </w:p>
    <w:p w14:paraId="00000010">
      <w:pPr>
        <w:pStyle w:val="4"/>
        <w:jc w:val="both"/>
        <w:rPr>
          <w:rFonts w:hint="default" w:ascii="Times New Roman" w:hAnsi="Times New Roman" w:cs="Times New Roman"/>
          <w:sz w:val="24"/>
          <w:szCs w:val="24"/>
        </w:rPr>
      </w:pPr>
      <w:bookmarkStart w:id="2" w:name="_1i4pfvifigim" w:colFirst="0" w:colLast="0"/>
      <w:bookmarkEnd w:id="2"/>
      <w:r>
        <w:rPr>
          <w:rFonts w:hint="default" w:ascii="Times New Roman" w:hAnsi="Times New Roman" w:cs="Times New Roman"/>
          <w:sz w:val="24"/>
          <w:szCs w:val="24"/>
          <w:rtl w:val="0"/>
        </w:rPr>
        <w:t>Art. 2 (Condizioni per la stipula dei contratti)</w:t>
      </w:r>
    </w:p>
    <w:p w14:paraId="00000011">
      <w:pPr>
        <w:numPr>
          <w:ilvl w:val="0"/>
          <w:numId w:val="2"/>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L'istituzione scolastica può stipulare contratti di prestazione d'opera con esperti per particolari attività ed insegnamenti, nonché convenzioni con Enti pubblici o di Formazione professionale, al fine di garantire l'arricchimento dell'offerta formativa nonché la realizzazione di specifici progetti didattici, programmi di ricerca e sperimentazione.</w:t>
      </w:r>
    </w:p>
    <w:p w14:paraId="00000012">
      <w:pPr>
        <w:numPr>
          <w:ilvl w:val="0"/>
          <w:numId w:val="2"/>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Al fine di soddisfare le esigenze di cui al comma precedente, su proposta del Collegio dei Docenti ed in base alla Programmazione dell'offerta formativa, l'Istituzione Scolastica, verificata l'impossibilità di utilizzare al fine il personale interno ed in coerenza con le disponibilità finanziarie, può ricorrere all'istituto delle collaborazioni plurime ex art. 35 CCNL del 29 novembre 2007 o, in alternativa, stipulare contratti di lavoro autonomo con esperti di particolare e comprovata specializzazione, ai sensi dell'art. 7, comma 6 del D. Lgs. 30 marzo 2001, n. 165 ovvero ancora affidare i percorsi formativi a soggetti giuridici aventi le risorse e le professionalità richieste dalla formazione. In quest'ultimo caso gli affidamenti avverranno ricorrendo ad una procedura di affidamento secondo le disposizioni del Decreto Legislativo 18 Aprile 2016, N. 50 e successive modificazioni e integrazioni. In caso di elevata complessità dei percorsi formativi l'istituzione scolastica può affidare a soggetti esterni il percorso formativo in ragione della sua complessità, (Università, associazioni, enti di formazione esperti della materia, enti accreditati dal MIUR, ecc.) anche senza previa consultazione della presenza di professionalità interne, ricorrendo ad una procedura di affidamento secondo le disposizioni del Decreto Legislativo 18 Aprile 2016, N. 50 e successive modificazioni e integrazioni. In tal caso è possibile mettere a base d'asta esclusivamente l'importo previsto per la formazione (esperti e anche tutor) ed eventualmente il materiale didattico specifico o spese strettamente correlate, dovendo rimanere ad esclusivo carico e responsabilità dell'istituzione scolastica tutti gli aspetti organizzativi, amministrativo contabili e gestionali.</w:t>
      </w:r>
    </w:p>
    <w:p w14:paraId="00000013">
      <w:pPr>
        <w:numPr>
          <w:ilvl w:val="0"/>
          <w:numId w:val="2"/>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Il contratto/convenzione è stipulato con esperti o Enti di Formazione italiani o stranieri, che siano in grado di apportare la necessaria esperienza tecnico-professionale nell'insegnamento o nel progetto didattico richiesto.</w:t>
      </w:r>
    </w:p>
    <w:p w14:paraId="00000014">
      <w:pPr>
        <w:numPr>
          <w:ilvl w:val="0"/>
          <w:numId w:val="2"/>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L'affidamento dell'incarico avverrà previa acquisizione dell'autorizzazione da parte dell'amministrazione di appartenenza dell'esperto, se dipendente pubblico, in applicazione dell'art. 58 del D.L.vo 3 febbraio 1993, n. 29 e successive modificazioni ed integrazioni.</w:t>
      </w:r>
    </w:p>
    <w:p w14:paraId="00000015">
      <w:pPr>
        <w:pStyle w:val="4"/>
        <w:jc w:val="both"/>
        <w:rPr>
          <w:rFonts w:hint="default" w:ascii="Times New Roman" w:hAnsi="Times New Roman" w:cs="Times New Roman"/>
          <w:sz w:val="24"/>
          <w:szCs w:val="24"/>
        </w:rPr>
      </w:pPr>
      <w:bookmarkStart w:id="3" w:name="_wwogtomd7h0e" w:colFirst="0" w:colLast="0"/>
      <w:bookmarkEnd w:id="3"/>
      <w:r>
        <w:rPr>
          <w:rFonts w:hint="default" w:ascii="Times New Roman" w:hAnsi="Times New Roman" w:cs="Times New Roman"/>
          <w:sz w:val="24"/>
          <w:szCs w:val="24"/>
          <w:rtl w:val="0"/>
        </w:rPr>
        <w:t>Art. 3 (Pubblicazione avvisi di selezione)</w:t>
      </w:r>
    </w:p>
    <w:p w14:paraId="00000016">
      <w:pPr>
        <w:jc w:val="both"/>
        <w:rPr>
          <w:rFonts w:hint="default" w:ascii="Times New Roman" w:hAnsi="Times New Roman" w:cs="Times New Roman"/>
          <w:sz w:val="24"/>
          <w:szCs w:val="24"/>
        </w:rPr>
      </w:pPr>
      <w:r>
        <w:rPr>
          <w:rFonts w:hint="default" w:ascii="Times New Roman" w:hAnsi="Times New Roman" w:cs="Times New Roman"/>
          <w:sz w:val="24"/>
          <w:szCs w:val="24"/>
          <w:rtl w:val="0"/>
        </w:rPr>
        <w:t>Il Dirigente Scolastico sulla base delle esigenze dei progetti del PTOF e sui finanziamenti a disposizione per la realizzazione di tali progetti, sui progetti autorizzati e finanziati con il Fondo Sociale Europeo (PON - POR - POC - FESR - PNSD etc.) e con i fondi del PNRR individua di volta in volta le attività e gli insegnamenti per i quali è necessario conferire incarichi a personale esperto o tutor interno/esterno e ne dà informazione pubblicando sul sito della scuola l'avviso di selezione contenente: a. la tipologia dell'incarico e l'attività prevista; b. la durata; c. il luogo; d. il compenso dello specifico incarico da conferire.</w:t>
      </w:r>
    </w:p>
    <w:p w14:paraId="00000017">
      <w:pPr>
        <w:pStyle w:val="4"/>
        <w:jc w:val="both"/>
        <w:rPr>
          <w:rFonts w:hint="default" w:ascii="Times New Roman" w:hAnsi="Times New Roman" w:cs="Times New Roman"/>
          <w:sz w:val="24"/>
          <w:szCs w:val="24"/>
        </w:rPr>
      </w:pPr>
      <w:bookmarkStart w:id="4" w:name="_clyoj9ba2es" w:colFirst="0" w:colLast="0"/>
      <w:bookmarkEnd w:id="4"/>
      <w:r>
        <w:rPr>
          <w:rFonts w:hint="default" w:ascii="Times New Roman" w:hAnsi="Times New Roman" w:cs="Times New Roman"/>
          <w:sz w:val="24"/>
          <w:szCs w:val="24"/>
          <w:rtl w:val="0"/>
        </w:rPr>
        <w:t>Art. 4 (Requisiti professionali per la selezione di esperti/tutor interni o esterni)</w:t>
      </w:r>
    </w:p>
    <w:p w14:paraId="00000018">
      <w:pPr>
        <w:jc w:val="both"/>
        <w:rPr>
          <w:rFonts w:hint="default" w:ascii="Times New Roman" w:hAnsi="Times New Roman" w:cs="Times New Roman"/>
          <w:sz w:val="24"/>
          <w:szCs w:val="24"/>
        </w:rPr>
      </w:pPr>
      <w:r>
        <w:rPr>
          <w:rFonts w:hint="default" w:ascii="Times New Roman" w:hAnsi="Times New Roman" w:cs="Times New Roman"/>
          <w:sz w:val="24"/>
          <w:szCs w:val="24"/>
          <w:rtl w:val="0"/>
        </w:rPr>
        <w:t>Per ciascuna attività o progetto deliberato e rientrante nel PTOF per lo svolgimento del quale si richiede la collaborazione di personale esperto interno/esterno, il Consiglio di Istituto</w:t>
      </w:r>
      <w:r>
        <w:rPr>
          <w:rFonts w:hint="default" w:ascii="Times New Roman" w:hAnsi="Times New Roman" w:cs="Times New Roman"/>
          <w:sz w:val="24"/>
          <w:szCs w:val="24"/>
          <w:rtl w:val="0"/>
          <w:lang w:val="it-IT"/>
        </w:rPr>
        <w:t>/Commissario straordinario</w:t>
      </w:r>
      <w:r>
        <w:rPr>
          <w:rFonts w:hint="default" w:ascii="Times New Roman" w:hAnsi="Times New Roman" w:cs="Times New Roman"/>
          <w:sz w:val="24"/>
          <w:szCs w:val="24"/>
          <w:rtl w:val="0"/>
        </w:rPr>
        <w:t xml:space="preserve"> stabilisce i requisiti che devono essere posseduti dai medesimi e che danno titolo a precedenze in termini di titoli professionali e di studio/esperienze lavorative. In ogni caso per l'ammissione alla selezione per il conferimento dell'incarico occorre: a) essere in possesso della cittadinanza italiana o di uno degli Stati membri dell'Unione Europea, salvo casi particolari da motivare; b) godere dei diritti civili e politici; c) non aver riportato condanne penali e non essere destinatario di provvedimenti che riguardano l'applicazione di misure di prevenzione, di decisioni civili e di provvedimenti amministrativi iscritti nel casellario giudiziale; d) essere a conoscenza di non essere sottoposto a procedimenti penali.</w:t>
      </w:r>
    </w:p>
    <w:p w14:paraId="0000001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1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1F">
      <w:pPr>
        <w:jc w:val="both"/>
        <w:rPr>
          <w:rFonts w:hint="default" w:ascii="Times New Roman" w:hAnsi="Times New Roman" w:cs="Times New Roman"/>
          <w:sz w:val="24"/>
          <w:szCs w:val="24"/>
        </w:rPr>
      </w:pPr>
      <w:r>
        <w:rPr>
          <w:rFonts w:hint="default" w:ascii="Times New Roman" w:hAnsi="Times New Roman" w:cs="Times New Roman"/>
          <w:sz w:val="24"/>
          <w:szCs w:val="24"/>
          <w:rtl w:val="0"/>
        </w:rPr>
        <w:t>In caso di selezione di esperti e tutor, interni o esterni, saranno valutati, previa comparazione dei curricula, i seguenti titoli:</w:t>
      </w:r>
    </w:p>
    <w:p w14:paraId="000000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7"/>
      </w:tblGrid>
      <w:tr w14:paraId="48E40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47" w:type="dxa"/>
          </w:tcPr>
          <w:p w14:paraId="079217AA">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b w:val="0"/>
                <w:bCs w:val="0"/>
                <w:color w:val="1F1F1F"/>
                <w:sz w:val="24"/>
                <w:szCs w:val="24"/>
                <w:lang w:val="it-IT"/>
              </w:rPr>
            </w:pPr>
            <w:r>
              <w:rPr>
                <w:rFonts w:hint="default" w:ascii="Times New Roman" w:hAnsi="Times New Roman" w:eastAsia="sans-serif" w:cs="Times New Roman"/>
                <w:b w:val="0"/>
                <w:bCs w:val="0"/>
                <w:color w:val="1F1F1F"/>
                <w:kern w:val="0"/>
                <w:sz w:val="24"/>
                <w:szCs w:val="24"/>
                <w:lang w:val="en-US" w:eastAsia="zh-CN" w:bidi="ar"/>
              </w:rPr>
              <w:t>Laurea Magistrale o Specialistica</w:t>
            </w:r>
            <w:r>
              <w:rPr>
                <w:rFonts w:hint="default" w:ascii="Times New Roman" w:hAnsi="Times New Roman" w:eastAsia="sans-serif" w:cs="Times New Roman"/>
                <w:b w:val="0"/>
                <w:bCs w:val="0"/>
                <w:color w:val="1F1F1F"/>
                <w:kern w:val="0"/>
                <w:sz w:val="24"/>
                <w:szCs w:val="24"/>
                <w:lang w:val="it-IT" w:eastAsia="zh-CN" w:bidi="ar"/>
              </w:rPr>
              <w:t xml:space="preserve"> coerente col tema con le finalità del modulo a ciìui si intende partecipare</w:t>
            </w:r>
          </w:p>
          <w:p w14:paraId="2FA08962">
            <w:pPr>
              <w:widowControl w:val="0"/>
              <w:jc w:val="both"/>
              <w:rPr>
                <w:rFonts w:hint="default" w:ascii="Times New Roman" w:hAnsi="Times New Roman" w:eastAsia="sans-serif" w:cs="Times New Roman"/>
                <w:b w:val="0"/>
                <w:bCs w:val="0"/>
                <w:color w:val="1F1F1F"/>
                <w:sz w:val="24"/>
                <w:szCs w:val="24"/>
                <w:vertAlign w:val="baseline"/>
                <w:lang w:val="it-IT"/>
              </w:rPr>
            </w:pPr>
          </w:p>
        </w:tc>
      </w:tr>
      <w:tr w14:paraId="46A1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059DF8F0">
            <w:pPr>
              <w:widowControl w:val="0"/>
              <w:jc w:val="both"/>
              <w:rPr>
                <w:rFonts w:hint="default" w:ascii="Times New Roman" w:hAnsi="Times New Roman" w:eastAsia="sans-serif" w:cs="Times New Roman"/>
                <w:b w:val="0"/>
                <w:bCs w:val="0"/>
                <w:color w:val="1F1F1F"/>
                <w:sz w:val="24"/>
                <w:szCs w:val="24"/>
                <w:vertAlign w:val="baseline"/>
                <w:lang w:val="it-IT"/>
              </w:rPr>
            </w:pPr>
            <w:r>
              <w:rPr>
                <w:rFonts w:hint="default" w:ascii="Times New Roman" w:hAnsi="Times New Roman" w:eastAsia="sans-serif" w:cs="Times New Roman"/>
                <w:b w:val="0"/>
                <w:bCs w:val="0"/>
                <w:color w:val="1F1F1F"/>
                <w:kern w:val="0"/>
                <w:sz w:val="24"/>
                <w:szCs w:val="24"/>
                <w:lang w:val="en-US" w:eastAsia="zh-CN" w:bidi="ar"/>
              </w:rPr>
              <w:t xml:space="preserve">Laurea Triennale </w:t>
            </w:r>
            <w:r>
              <w:rPr>
                <w:rFonts w:hint="default" w:ascii="Times New Roman" w:hAnsi="Times New Roman" w:eastAsia="sans-serif" w:cs="Times New Roman"/>
                <w:b w:val="0"/>
                <w:bCs w:val="0"/>
                <w:i/>
                <w:iCs/>
                <w:color w:val="1F1F1F"/>
                <w:kern w:val="0"/>
                <w:sz w:val="24"/>
                <w:szCs w:val="24"/>
                <w:lang w:val="en-US" w:eastAsia="zh-CN" w:bidi="ar"/>
              </w:rPr>
              <w:t>(preferibilmente attinente alla specificità dell'Avviso)</w:t>
            </w:r>
          </w:p>
        </w:tc>
      </w:tr>
      <w:tr w14:paraId="460A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7487ACED">
            <w:pPr>
              <w:widowControl w:val="0"/>
              <w:jc w:val="both"/>
              <w:rPr>
                <w:rFonts w:hint="default" w:ascii="Times New Roman" w:hAnsi="Times New Roman" w:eastAsia="sans-serif" w:cs="Times New Roman"/>
                <w:b w:val="0"/>
                <w:bCs w:val="0"/>
                <w:color w:val="1F1F1F"/>
                <w:sz w:val="24"/>
                <w:szCs w:val="24"/>
                <w:vertAlign w:val="baseline"/>
                <w:lang w:val="it-IT"/>
              </w:rPr>
            </w:pPr>
            <w:r>
              <w:rPr>
                <w:rFonts w:hint="default" w:ascii="Times New Roman" w:hAnsi="Times New Roman" w:eastAsia="sans-serif" w:cs="Times New Roman"/>
                <w:b w:val="0"/>
                <w:bCs w:val="0"/>
                <w:color w:val="1F1F1F"/>
                <w:kern w:val="0"/>
                <w:sz w:val="24"/>
                <w:szCs w:val="24"/>
                <w:lang w:val="en-US" w:eastAsia="zh-CN" w:bidi="ar"/>
              </w:rPr>
              <w:t>Seconda laurea Magistrale o Specialistica</w:t>
            </w:r>
          </w:p>
        </w:tc>
      </w:tr>
      <w:tr w14:paraId="14CD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shd w:val="clear" w:color="auto" w:fill="auto"/>
            <w:vAlign w:val="center"/>
          </w:tcPr>
          <w:p w14:paraId="16D7F70F">
            <w:pPr>
              <w:keepNext w:val="0"/>
              <w:keepLines w:val="0"/>
              <w:widowControl/>
              <w:suppressLineNumbers w:val="0"/>
              <w:bidi w:val="0"/>
              <w:spacing w:before="0" w:beforeAutospacing="0" w:after="0" w:afterAutospacing="0" w:line="12" w:lineRule="atLeast"/>
              <w:ind w:left="0" w:leftChars="0" w:right="0" w:rightChars="0"/>
              <w:jc w:val="left"/>
              <w:rPr>
                <w:rFonts w:hint="default" w:ascii="Times New Roman" w:hAnsi="Times New Roman" w:eastAsia="sans-serif" w:cs="Times New Roman"/>
                <w:b w:val="0"/>
                <w:bCs w:val="0"/>
                <w:color w:val="1F1F1F"/>
                <w:sz w:val="24"/>
                <w:szCs w:val="24"/>
                <w:lang w:val="it-IT" w:eastAsia="zh-CN" w:bidi="ar-SA"/>
              </w:rPr>
            </w:pPr>
            <w:r>
              <w:rPr>
                <w:rFonts w:hint="default" w:ascii="Times New Roman" w:hAnsi="Times New Roman" w:eastAsia="sans-serif" w:cs="Times New Roman"/>
                <w:b w:val="0"/>
                <w:bCs w:val="0"/>
                <w:color w:val="1F1F1F"/>
                <w:kern w:val="0"/>
                <w:sz w:val="24"/>
                <w:szCs w:val="24"/>
                <w:lang w:val="en-US" w:eastAsia="zh-CN" w:bidi="ar"/>
              </w:rPr>
              <w:t xml:space="preserve">Master/Dottorato/Corsi di specializzazione/ perfezionamento post laurea e post diploma </w:t>
            </w:r>
            <w:r>
              <w:rPr>
                <w:rFonts w:hint="default" w:ascii="Times New Roman" w:hAnsi="Times New Roman" w:eastAsia="sans-serif" w:cs="Times New Roman"/>
                <w:b w:val="0"/>
                <w:bCs w:val="0"/>
                <w:i/>
                <w:iCs/>
                <w:color w:val="1F1F1F"/>
                <w:kern w:val="0"/>
                <w:sz w:val="24"/>
                <w:szCs w:val="24"/>
                <w:lang w:val="en-US" w:eastAsia="zh-CN" w:bidi="ar"/>
              </w:rPr>
              <w:t>(attinenti alla specificità dell'Avviso)</w:t>
            </w:r>
          </w:p>
        </w:tc>
      </w:tr>
      <w:tr w14:paraId="09F0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673516DA">
            <w:pPr>
              <w:widowControl w:val="0"/>
              <w:jc w:val="both"/>
              <w:rPr>
                <w:rFonts w:hint="default" w:ascii="Times New Roman" w:hAnsi="Times New Roman" w:eastAsia="sans-serif" w:cs="Times New Roman"/>
                <w:b w:val="0"/>
                <w:bCs w:val="0"/>
                <w:color w:val="1F1F1F"/>
                <w:sz w:val="24"/>
                <w:szCs w:val="24"/>
                <w:vertAlign w:val="baseline"/>
                <w:lang w:val="it-IT"/>
              </w:rPr>
            </w:pPr>
            <w:r>
              <w:rPr>
                <w:rFonts w:hint="default" w:ascii="Times New Roman" w:hAnsi="Times New Roman" w:eastAsia="sans-serif" w:cs="Times New Roman"/>
                <w:b w:val="0"/>
                <w:bCs w:val="0"/>
                <w:color w:val="1F1F1F"/>
                <w:kern w:val="0"/>
                <w:sz w:val="24"/>
                <w:szCs w:val="24"/>
                <w:lang w:val="en-US" w:eastAsia="zh-CN" w:bidi="ar"/>
              </w:rPr>
              <w:t>Partecipazione ai GOP (gruppi operativi di progetto) per pianificazione e coordinamento progetti FSE - FESR - PNRR</w:t>
            </w:r>
          </w:p>
        </w:tc>
      </w:tr>
      <w:tr w14:paraId="411C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20378786">
            <w:pPr>
              <w:widowControl w:val="0"/>
              <w:jc w:val="both"/>
              <w:rPr>
                <w:rFonts w:hint="default" w:ascii="Times New Roman" w:hAnsi="Times New Roman" w:eastAsia="sans-serif" w:cs="Times New Roman"/>
                <w:b w:val="0"/>
                <w:bCs w:val="0"/>
                <w:color w:val="1F1F1F"/>
                <w:sz w:val="24"/>
                <w:szCs w:val="24"/>
                <w:vertAlign w:val="baseline"/>
                <w:lang w:val="it-IT"/>
              </w:rPr>
            </w:pPr>
            <w:r>
              <w:rPr>
                <w:rFonts w:hint="default" w:ascii="Times New Roman" w:hAnsi="Times New Roman" w:eastAsia="sans-serif" w:cs="Times New Roman"/>
                <w:b w:val="0"/>
                <w:bCs w:val="0"/>
                <w:color w:val="1F1F1F"/>
                <w:kern w:val="0"/>
                <w:sz w:val="24"/>
                <w:szCs w:val="24"/>
                <w:lang w:val="en-US" w:eastAsia="zh-CN" w:bidi="ar"/>
              </w:rPr>
              <w:t xml:space="preserve">Esperienze come </w:t>
            </w:r>
            <w:r>
              <w:rPr>
                <w:rFonts w:hint="default" w:ascii="Times New Roman" w:hAnsi="Times New Roman" w:eastAsia="sans-serif" w:cs="Times New Roman"/>
                <w:b w:val="0"/>
                <w:bCs w:val="0"/>
                <w:color w:val="1F1F1F"/>
                <w:kern w:val="0"/>
                <w:sz w:val="24"/>
                <w:szCs w:val="24"/>
                <w:lang w:val="it-IT" w:eastAsia="zh-CN" w:bidi="ar"/>
              </w:rPr>
              <w:t xml:space="preserve">Esperto </w:t>
            </w:r>
            <w:r>
              <w:rPr>
                <w:rFonts w:hint="default" w:ascii="Times New Roman" w:hAnsi="Times New Roman" w:eastAsia="sans-serif" w:cs="Times New Roman"/>
                <w:b w:val="0"/>
                <w:bCs w:val="0"/>
                <w:color w:val="1F1F1F"/>
                <w:kern w:val="0"/>
                <w:sz w:val="24"/>
                <w:szCs w:val="24"/>
                <w:lang w:val="en-US" w:eastAsia="zh-CN" w:bidi="ar"/>
              </w:rPr>
              <w:t>nei progetti PON/PNRR o nei progetti d'Istituto</w:t>
            </w:r>
          </w:p>
        </w:tc>
      </w:tr>
      <w:tr w14:paraId="79B6B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2C6D3A32">
            <w:pPr>
              <w:widowControl w:val="0"/>
              <w:jc w:val="both"/>
              <w:rPr>
                <w:rFonts w:hint="default" w:ascii="Times New Roman" w:hAnsi="Times New Roman" w:eastAsia="sans-serif" w:cs="Times New Roman"/>
                <w:b w:val="0"/>
                <w:bCs w:val="0"/>
                <w:color w:val="1F1F1F"/>
                <w:sz w:val="24"/>
                <w:szCs w:val="24"/>
                <w:vertAlign w:val="baseline"/>
                <w:lang w:val="it-IT"/>
              </w:rPr>
            </w:pPr>
            <w:r>
              <w:rPr>
                <w:rFonts w:hint="default" w:ascii="Times New Roman" w:hAnsi="Times New Roman" w:eastAsia="sans-serif" w:cs="Times New Roman"/>
                <w:b w:val="0"/>
                <w:bCs w:val="0"/>
                <w:color w:val="1F1F1F"/>
                <w:kern w:val="0"/>
                <w:sz w:val="24"/>
                <w:szCs w:val="24"/>
                <w:lang w:val="en-US" w:eastAsia="zh-CN" w:bidi="ar"/>
              </w:rPr>
              <w:t>Esperienze come Tutor nei progetti PON/PNRR o nei progetti d'Istituto</w:t>
            </w:r>
          </w:p>
        </w:tc>
      </w:tr>
      <w:tr w14:paraId="1654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240E86F3">
            <w:pPr>
              <w:widowControl w:val="0"/>
              <w:jc w:val="both"/>
              <w:rPr>
                <w:rFonts w:hint="default" w:ascii="Times New Roman" w:hAnsi="Times New Roman" w:eastAsia="sans-serif" w:cs="Times New Roman"/>
                <w:b w:val="0"/>
                <w:bCs w:val="0"/>
                <w:color w:val="1F1F1F"/>
                <w:kern w:val="0"/>
                <w:sz w:val="24"/>
                <w:szCs w:val="24"/>
                <w:lang w:val="en-US" w:eastAsia="zh-CN" w:bidi="ar"/>
              </w:rPr>
            </w:pPr>
            <w:r>
              <w:rPr>
                <w:rFonts w:hint="default" w:ascii="Times New Roman" w:hAnsi="Times New Roman" w:eastAsia="sans-serif" w:cs="Times New Roman"/>
                <w:b w:val="0"/>
                <w:bCs w:val="0"/>
                <w:color w:val="1F1F1F"/>
                <w:kern w:val="0"/>
                <w:sz w:val="24"/>
                <w:szCs w:val="24"/>
                <w:lang w:val="en-US" w:eastAsia="zh-CN" w:bidi="ar"/>
              </w:rPr>
              <w:t>Esperienze in attività di coordinamento ed altri incarichi (collaboratore DS, funzione strumentale, referente d'area)</w:t>
            </w:r>
          </w:p>
        </w:tc>
      </w:tr>
      <w:tr w14:paraId="231F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43E925EC">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b w:val="0"/>
                <w:bCs w:val="0"/>
                <w:color w:val="1F1F1F"/>
                <w:sz w:val="24"/>
                <w:szCs w:val="24"/>
              </w:rPr>
            </w:pPr>
            <w:r>
              <w:rPr>
                <w:rFonts w:hint="default" w:ascii="Times New Roman" w:hAnsi="Times New Roman" w:eastAsia="sans-serif" w:cs="Times New Roman"/>
                <w:b w:val="0"/>
                <w:bCs w:val="0"/>
                <w:color w:val="1F1F1F"/>
                <w:kern w:val="0"/>
                <w:sz w:val="24"/>
                <w:szCs w:val="24"/>
                <w:lang w:val="en-US" w:eastAsia="zh-CN" w:bidi="ar"/>
              </w:rPr>
              <w:t xml:space="preserve">Partecipazione a corsi di formazione in materia attinente alla specificità dell'avviso (almeno 25 ore) </w:t>
            </w:r>
          </w:p>
          <w:p w14:paraId="29315DDC">
            <w:pPr>
              <w:widowControl w:val="0"/>
              <w:jc w:val="both"/>
              <w:rPr>
                <w:rFonts w:hint="default" w:ascii="Times New Roman" w:hAnsi="Times New Roman" w:eastAsia="sans-serif" w:cs="Times New Roman"/>
                <w:b w:val="0"/>
                <w:bCs w:val="0"/>
                <w:color w:val="1F1F1F"/>
                <w:kern w:val="0"/>
                <w:sz w:val="24"/>
                <w:szCs w:val="24"/>
                <w:lang w:val="en-US" w:eastAsia="zh-CN" w:bidi="ar"/>
              </w:rPr>
            </w:pPr>
          </w:p>
        </w:tc>
      </w:tr>
      <w:tr w14:paraId="00AD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37AD3E65">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b w:val="0"/>
                <w:bCs w:val="0"/>
                <w:color w:val="1F1F1F"/>
                <w:sz w:val="24"/>
                <w:szCs w:val="24"/>
              </w:rPr>
            </w:pPr>
            <w:r>
              <w:rPr>
                <w:rFonts w:hint="default" w:ascii="Times New Roman" w:hAnsi="Times New Roman" w:eastAsia="sans-serif" w:cs="Times New Roman"/>
                <w:b w:val="0"/>
                <w:bCs w:val="0"/>
                <w:color w:val="1F1F1F"/>
                <w:kern w:val="0"/>
                <w:sz w:val="24"/>
                <w:szCs w:val="24"/>
                <w:lang w:val="en-US" w:eastAsia="zh-CN" w:bidi="ar"/>
              </w:rPr>
              <w:t>Certificazione di competenze informatiche, rilasciate da enti accreditati, riconosciute dal MIM (ECDL/ICDL, EIPASS, ITIL, PEKIT)</w:t>
            </w:r>
          </w:p>
          <w:p w14:paraId="05397915">
            <w:pPr>
              <w:widowControl w:val="0"/>
              <w:jc w:val="both"/>
              <w:rPr>
                <w:rFonts w:hint="default" w:ascii="Times New Roman" w:hAnsi="Times New Roman" w:eastAsia="sans-serif" w:cs="Times New Roman"/>
                <w:b w:val="0"/>
                <w:bCs w:val="0"/>
                <w:color w:val="1F1F1F"/>
                <w:kern w:val="0"/>
                <w:sz w:val="24"/>
                <w:szCs w:val="24"/>
                <w:lang w:val="en-US" w:eastAsia="zh-CN" w:bidi="ar"/>
              </w:rPr>
            </w:pPr>
          </w:p>
        </w:tc>
      </w:tr>
      <w:tr w14:paraId="7C64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7" w:type="dxa"/>
          </w:tcPr>
          <w:p w14:paraId="69E3C671">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b w:val="0"/>
                <w:bCs w:val="0"/>
                <w:color w:val="1F1F1F"/>
                <w:sz w:val="24"/>
                <w:szCs w:val="24"/>
                <w:lang w:val="it-IT"/>
              </w:rPr>
            </w:pPr>
            <w:r>
              <w:rPr>
                <w:rFonts w:hint="default" w:ascii="Times New Roman" w:hAnsi="Times New Roman" w:eastAsia="sans-serif" w:cs="Times New Roman"/>
                <w:b w:val="0"/>
                <w:bCs w:val="0"/>
                <w:color w:val="1F1F1F"/>
                <w:kern w:val="0"/>
                <w:sz w:val="24"/>
                <w:szCs w:val="24"/>
                <w:lang w:val="en-US" w:eastAsia="zh-CN" w:bidi="ar"/>
              </w:rPr>
              <w:t>Certificazione di competenze informatiche, rilasciate da enti accreditati, riconosciute dal MIM (</w:t>
            </w:r>
            <w:r>
              <w:rPr>
                <w:rFonts w:hint="default" w:ascii="Times New Roman" w:hAnsi="Times New Roman" w:eastAsia="sans-serif" w:cs="Times New Roman"/>
                <w:b w:val="0"/>
                <w:bCs w:val="0"/>
                <w:color w:val="1F1F1F"/>
                <w:kern w:val="0"/>
                <w:sz w:val="24"/>
                <w:szCs w:val="24"/>
                <w:lang w:val="it-IT" w:eastAsia="zh-CN" w:bidi="ar"/>
              </w:rPr>
              <w:t>C1, C2)</w:t>
            </w:r>
          </w:p>
          <w:p w14:paraId="6731A595">
            <w:pPr>
              <w:widowControl w:val="0"/>
              <w:jc w:val="both"/>
              <w:rPr>
                <w:rFonts w:hint="default" w:ascii="Times New Roman" w:hAnsi="Times New Roman" w:eastAsia="sans-serif" w:cs="Times New Roman"/>
                <w:b w:val="0"/>
                <w:bCs w:val="0"/>
                <w:color w:val="1F1F1F"/>
                <w:kern w:val="0"/>
                <w:sz w:val="24"/>
                <w:szCs w:val="24"/>
                <w:lang w:val="en-US" w:eastAsia="zh-CN" w:bidi="ar"/>
              </w:rPr>
            </w:pPr>
          </w:p>
        </w:tc>
      </w:tr>
    </w:tbl>
    <w:p w14:paraId="48341B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2F">
      <w:pPr>
        <w:jc w:val="both"/>
        <w:rPr>
          <w:rFonts w:hint="default" w:ascii="Times New Roman" w:hAnsi="Times New Roman" w:cs="Times New Roman"/>
          <w:sz w:val="24"/>
          <w:szCs w:val="24"/>
        </w:rPr>
      </w:pPr>
      <w:r>
        <w:rPr>
          <w:rFonts w:hint="default" w:ascii="Times New Roman" w:hAnsi="Times New Roman" w:cs="Times New Roman"/>
          <w:sz w:val="24"/>
          <w:szCs w:val="24"/>
          <w:rtl w:val="0"/>
        </w:rPr>
        <w:t>A parità di punteggio sarà data la preferenza ai candidati nell'ordine che segue:</w:t>
      </w:r>
    </w:p>
    <w:p w14:paraId="000000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33">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 xml:space="preserve"> la precedenza verrà data al candidato più giovane.</w:t>
      </w:r>
    </w:p>
    <w:p w14:paraId="000000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35">
      <w:pPr>
        <w:jc w:val="both"/>
        <w:rPr>
          <w:rFonts w:hint="default" w:ascii="Times New Roman" w:hAnsi="Times New Roman" w:cs="Times New Roman"/>
          <w:sz w:val="24"/>
          <w:szCs w:val="24"/>
        </w:rPr>
      </w:pPr>
      <w:r>
        <w:rPr>
          <w:rFonts w:hint="default" w:ascii="Times New Roman" w:hAnsi="Times New Roman" w:cs="Times New Roman"/>
          <w:sz w:val="24"/>
          <w:szCs w:val="24"/>
          <w:rtl w:val="0"/>
        </w:rPr>
        <w:t>Di volta in volta il Dirigente Scolastico, informato il Consiglio di Istituto</w:t>
      </w:r>
      <w:r>
        <w:rPr>
          <w:rFonts w:hint="default" w:ascii="Times New Roman" w:hAnsi="Times New Roman" w:cs="Times New Roman"/>
          <w:sz w:val="24"/>
          <w:szCs w:val="24"/>
          <w:rtl w:val="0"/>
          <w:lang w:val="it-IT"/>
        </w:rPr>
        <w:t>/Commissario straordinario</w:t>
      </w:r>
      <w:r>
        <w:rPr>
          <w:rFonts w:hint="default" w:ascii="Times New Roman" w:hAnsi="Times New Roman" w:cs="Times New Roman"/>
          <w:sz w:val="24"/>
          <w:szCs w:val="24"/>
          <w:rtl w:val="0"/>
        </w:rPr>
        <w:t xml:space="preserve"> e in funzione della qualità e professionalità richiesta all'esperto/tutor potrà individuare dei requisiti di ammissibilità delle istanze di partecipazioni in funzione proprio della specifica professionalità richiesta. Viene ritenuto ammissibile come prerequisito in casi particolari quale la gestione di progetti cofinanziati con i fondi Europei (PON - POR - POC - FESR) e con i fondi del PNRR il criterio di conoscenza delle procedure di gestione delle piattaforme ministeriali. In presenza di professionalità specifiche o di compiti particolari ricadenti nel campo di applicazione del DL 11/2/2008 e dall'art. 7 del Dlgs 165/2001 e successive correzioni e integrazioni, si potrà comunque prescindere dalla chiara specializzazione universitaria.</w:t>
      </w:r>
    </w:p>
    <w:p w14:paraId="000000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37">
      <w:pPr>
        <w:jc w:val="both"/>
        <w:rPr>
          <w:rFonts w:hint="default" w:ascii="Times New Roman" w:hAnsi="Times New Roman" w:cs="Times New Roman"/>
          <w:sz w:val="24"/>
          <w:szCs w:val="24"/>
        </w:rPr>
      </w:pPr>
      <w:r>
        <w:rPr>
          <w:rFonts w:hint="default" w:ascii="Times New Roman" w:hAnsi="Times New Roman" w:cs="Times New Roman"/>
          <w:sz w:val="24"/>
          <w:szCs w:val="24"/>
          <w:rtl w:val="0"/>
        </w:rPr>
        <w:t>In caso di selezione di professionalità interne sarà ritenuto INDEROGABILE REQUISITO DI AMMISSIONE il mantenimento della condizione di INTERNO (ovverosia contrattualizzato alle dipendenze della istituzione scolastica che emette l'avviso) fino alla fine della durata dell'incarico aggiuntivo. Le istanze di partecipazione presentate da personale a Tempo Determinato che dovessero arrivare a scadenza naturale del contratto di lavoro PRIMA del termine previsto per la fine delle attività dell'incarico aggiuntivo saranno ritenute prive del requisito di ammissione e non saranno ammesse alla selezione. In deroga a quanto sopra il Dirigente Scolastico potrà decidere di conferire comunque l'incarico fino al termine del contratto a TD, successivamente al quale la persona incaricata decadrà automaticamente dall'incarico aggiuntivo. Il personale di incarico a TD che dovesse essere trasferito o assegnato d'ufficio ad altra istituzione scolastica, o comunque pubblica, in costanza di incarico aggiuntivo, potrà mantenere lo stesso previa autorizzazione del dirigente della nuova sede.</w:t>
      </w:r>
    </w:p>
    <w:p w14:paraId="000000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39">
      <w:pPr>
        <w:jc w:val="both"/>
        <w:rPr>
          <w:rFonts w:hint="default" w:ascii="Times New Roman" w:hAnsi="Times New Roman" w:cs="Times New Roman"/>
          <w:sz w:val="24"/>
          <w:szCs w:val="24"/>
          <w:lang w:val="it-IT"/>
        </w:rPr>
      </w:pPr>
      <w:r>
        <w:rPr>
          <w:rFonts w:hint="default" w:ascii="Times New Roman" w:hAnsi="Times New Roman" w:cs="Times New Roman"/>
          <w:sz w:val="24"/>
          <w:szCs w:val="24"/>
          <w:rtl w:val="0"/>
        </w:rPr>
        <w:t>In caso di selezione di esperti e tutor per la formazione dei docenti con affidamento ad Enti o ad Agenzie di Formazione costituirà criterio preclusivo di ammissibilità l'accreditamento all'albo MIUR delle agenzie di formazione ai sensi della circolare prot. n°. 170 del 21/03/2016. I criteri di valutazione dei nominativi di esperti candidati sono gli stessi di quelli stabiliti per la selezione diretta di esperti e tutor. La procedura di evidenza pubblica per l'affidamento seguirà l'iter di cui al successivo art. 5. I titoli di cui all'elenco sopra indicati potranno essere utilizzati tutti o in parte in funzione della tipologia di incarico. I punteggi da attribuire a ciascun titolo possono anche essi essere determinati al momento in funzione della tipologia di incarico. I titoli occorrenti e i punteggi assegnati potranno essere variati occasionalmente dal Dirigente Scolastico, inserendo anche titoli non previsti in questo regolamento, in funzione delle esigenze e della tipologia di incarico previa comunicazione al collegio dei docenti e al consiglio di istituto</w:t>
      </w:r>
      <w:r>
        <w:rPr>
          <w:rFonts w:hint="default" w:ascii="Times New Roman" w:hAnsi="Times New Roman" w:cs="Times New Roman"/>
          <w:sz w:val="24"/>
          <w:szCs w:val="24"/>
          <w:rtl w:val="0"/>
          <w:lang w:val="it-IT"/>
        </w:rPr>
        <w:t>/Commissario straordinario.</w:t>
      </w:r>
    </w:p>
    <w:p w14:paraId="0000003A">
      <w:pPr>
        <w:pStyle w:val="4"/>
        <w:jc w:val="both"/>
        <w:rPr>
          <w:rFonts w:hint="default" w:ascii="Times New Roman" w:hAnsi="Times New Roman" w:cs="Times New Roman"/>
          <w:sz w:val="24"/>
          <w:szCs w:val="24"/>
        </w:rPr>
      </w:pPr>
      <w:bookmarkStart w:id="5" w:name="_3oa36qur8tsd" w:colFirst="0" w:colLast="0"/>
      <w:bookmarkEnd w:id="5"/>
      <w:r>
        <w:rPr>
          <w:rFonts w:hint="default" w:ascii="Times New Roman" w:hAnsi="Times New Roman" w:cs="Times New Roman"/>
          <w:sz w:val="24"/>
          <w:szCs w:val="24"/>
          <w:rtl w:val="0"/>
        </w:rPr>
        <w:t>Art. 5 (Modalità di selezione esperti e tutor)</w:t>
      </w:r>
    </w:p>
    <w:p w14:paraId="71D289E0">
      <w:pPr>
        <w:jc w:val="both"/>
        <w:rPr>
          <w:rFonts w:hint="default" w:ascii="Times New Roman" w:hAnsi="Times New Roman" w:cs="Times New Roman"/>
          <w:sz w:val="24"/>
          <w:szCs w:val="24"/>
        </w:rPr>
      </w:pPr>
      <w:r>
        <w:rPr>
          <w:rFonts w:hint="default" w:ascii="Times New Roman" w:hAnsi="Times New Roman" w:cs="Times New Roman"/>
          <w:sz w:val="24"/>
          <w:szCs w:val="24"/>
          <w:rtl w:val="0"/>
        </w:rPr>
        <w:t>La selezione delle professionalità occorrenti</w:t>
      </w:r>
      <w:r>
        <w:rPr>
          <w:rFonts w:hint="default" w:ascii="Times New Roman" w:hAnsi="Times New Roman" w:cs="Times New Roman"/>
          <w:sz w:val="24"/>
          <w:szCs w:val="24"/>
          <w:rtl w:val="0"/>
          <w:lang w:val="it-IT"/>
        </w:rPr>
        <w:t xml:space="preserve"> </w:t>
      </w:r>
      <w:r>
        <w:rPr>
          <w:rFonts w:hint="default" w:ascii="Times New Roman" w:hAnsi="Times New Roman" w:cs="Times New Roman"/>
          <w:sz w:val="24"/>
          <w:szCs w:val="24"/>
          <w:lang w:val="it-IT"/>
        </w:rPr>
        <w:t xml:space="preserve">avviene in collegio docenti attraverso il rispetto dei criteri deliberati, della comparazione dei curricola e la disponibilità individuata oppure </w:t>
      </w:r>
      <w:r>
        <w:rPr>
          <w:rFonts w:hint="default" w:ascii="Times New Roman" w:hAnsi="Times New Roman" w:cs="Times New Roman"/>
          <w:sz w:val="24"/>
          <w:szCs w:val="24"/>
          <w:rtl w:val="0"/>
        </w:rPr>
        <w:t>seguirà l'ordine e le modalità seguenti:</w:t>
      </w:r>
    </w:p>
    <w:p w14:paraId="0E583488">
      <w:pPr>
        <w:jc w:val="both"/>
        <w:rPr>
          <w:rFonts w:hint="default" w:ascii="Times New Roman" w:hAnsi="Times New Roman" w:cs="Times New Roman"/>
          <w:sz w:val="24"/>
          <w:szCs w:val="24"/>
          <w:lang w:val="it-IT"/>
        </w:rPr>
      </w:pPr>
    </w:p>
    <w:p w14:paraId="73BC4EB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lang w:val="it-IT"/>
        </w:rPr>
      </w:pPr>
    </w:p>
    <w:p w14:paraId="0000003D">
      <w:pPr>
        <w:numPr>
          <w:ilvl w:val="0"/>
          <w:numId w:val="4"/>
        </w:numPr>
        <w:jc w:val="both"/>
        <w:rPr>
          <w:rFonts w:hint="default" w:ascii="Times New Roman" w:hAnsi="Times New Roman" w:cs="Times New Roman"/>
          <w:sz w:val="24"/>
          <w:szCs w:val="24"/>
        </w:rPr>
      </w:pPr>
      <w:r>
        <w:rPr>
          <w:rFonts w:hint="default" w:ascii="Times New Roman" w:hAnsi="Times New Roman" w:cs="Times New Roman"/>
          <w:b/>
          <w:bCs/>
          <w:sz w:val="24"/>
          <w:szCs w:val="24"/>
          <w:rtl w:val="0"/>
        </w:rPr>
        <w:t>Selezione esperto/tutor interno:</w:t>
      </w:r>
      <w:r>
        <w:rPr>
          <w:rFonts w:hint="default" w:ascii="Times New Roman" w:hAnsi="Times New Roman" w:cs="Times New Roman"/>
          <w:sz w:val="24"/>
          <w:szCs w:val="24"/>
          <w:rtl w:val="0"/>
        </w:rPr>
        <w:t xml:space="preserve"> Avviso interno pubblicato sul sito dell'istituzione scolastica contenente le notizie di cui all'art. 3. All'avviso sarà allegato format di istanza di partecipazione contenente le dichiarazioni di legge e la griglia di autovalutazione titoli. L'avviso rimarrà pubblicato sul sito dell'istituto per n° </w:t>
      </w:r>
      <w:r>
        <w:rPr>
          <w:rFonts w:hint="default" w:ascii="Times New Roman" w:hAnsi="Times New Roman" w:cs="Times New Roman"/>
          <w:sz w:val="24"/>
          <w:szCs w:val="24"/>
          <w:rtl w:val="0"/>
          <w:lang w:val="it-IT"/>
        </w:rPr>
        <w:t>15</w:t>
      </w:r>
      <w:r>
        <w:rPr>
          <w:rFonts w:hint="default" w:ascii="Times New Roman" w:hAnsi="Times New Roman" w:cs="Times New Roman"/>
          <w:sz w:val="24"/>
          <w:szCs w:val="24"/>
          <w:rtl w:val="0"/>
        </w:rPr>
        <w:t xml:space="preserve"> giorni consecutivi. In casi adeguatamente motivati dal DS è prevista la procedura d'urgenza, con un limite di pubblicazione ridotto a 7 giorni per esperti/tutor interni, previa adeguata pubblicità del limite ridotto agli interessati attraverso l'avviso stesso. La data di fine pubblicazione coinciderà con la data termine di presentazione delle istanze di partecipazione. Alla scadenza del termine utile di presentazione il dirigente scolastico provvederà alla comparazione dei curricula in autonomia o previa la nomina di una commissione di valutazione </w:t>
      </w:r>
      <w:r>
        <w:rPr>
          <w:rFonts w:hint="default" w:ascii="Times New Roman" w:hAnsi="Times New Roman" w:cs="Times New Roman"/>
          <w:sz w:val="24"/>
          <w:szCs w:val="24"/>
          <w:rtl w:val="0"/>
          <w:lang w:val="it-IT"/>
        </w:rPr>
        <w:t>che</w:t>
      </w:r>
      <w:r>
        <w:rPr>
          <w:rFonts w:hint="default" w:ascii="Times New Roman" w:hAnsi="Times New Roman" w:cs="Times New Roman"/>
          <w:sz w:val="24"/>
          <w:szCs w:val="24"/>
          <w:rtl w:val="0"/>
        </w:rPr>
        <w:t xml:space="preserve"> provvederà a stilare le graduatorie provvisorie che saranno pubblicate sul sito dell'istituzione scolastica. Avverso le graduatorie saranno concessi ulteriori </w:t>
      </w:r>
      <w:r>
        <w:rPr>
          <w:rFonts w:hint="default" w:ascii="Times New Roman" w:hAnsi="Times New Roman" w:cs="Times New Roman"/>
          <w:sz w:val="24"/>
          <w:szCs w:val="24"/>
          <w:rtl w:val="0"/>
          <w:lang w:val="it-IT"/>
        </w:rPr>
        <w:t>10</w:t>
      </w:r>
      <w:r>
        <w:rPr>
          <w:rFonts w:hint="default" w:ascii="Times New Roman" w:hAnsi="Times New Roman" w:cs="Times New Roman"/>
          <w:sz w:val="24"/>
          <w:szCs w:val="24"/>
          <w:rtl w:val="0"/>
        </w:rPr>
        <w:t xml:space="preserve"> giorni</w:t>
      </w:r>
      <w:r>
        <w:rPr>
          <w:rFonts w:hint="default" w:ascii="Times New Roman" w:hAnsi="Times New Roman" w:cs="Times New Roman"/>
          <w:sz w:val="24"/>
          <w:szCs w:val="24"/>
          <w:rtl w:val="0"/>
          <w:lang w:val="it-IT"/>
        </w:rPr>
        <w:t xml:space="preserve"> (5 per la procedura d’urgenza)</w:t>
      </w:r>
      <w:r>
        <w:rPr>
          <w:rFonts w:hint="default" w:ascii="Times New Roman" w:hAnsi="Times New Roman" w:cs="Times New Roman"/>
          <w:sz w:val="24"/>
          <w:szCs w:val="24"/>
          <w:rtl w:val="0"/>
        </w:rPr>
        <w:t>, a far data dalla pubblicazione, per eventuali ricorsi</w:t>
      </w:r>
      <w:r>
        <w:rPr>
          <w:rFonts w:hint="default" w:ascii="Times New Roman" w:hAnsi="Times New Roman" w:cs="Times New Roman"/>
          <w:sz w:val="24"/>
          <w:szCs w:val="24"/>
          <w:rtl w:val="0"/>
          <w:lang w:val="it-IT"/>
        </w:rPr>
        <w:t xml:space="preserve">, </w:t>
      </w:r>
      <w:r>
        <w:rPr>
          <w:rFonts w:hint="default" w:ascii="Times New Roman" w:hAnsi="Times New Roman" w:cs="Times New Roman"/>
          <w:sz w:val="24"/>
          <w:szCs w:val="24"/>
          <w:rtl w:val="0"/>
        </w:rPr>
        <w:t>. In assenza di ricorsi o comunque dopo aver espletato le procedure di ricorso, il Dirigente scolastico provvederà alla pubblicazione delle graduatorie definitive e al decreto di nomina degli esperti/tutor selezionati a cui seguirà lettera di incarico o contratto. Nell'eventualità che le candidature siano in numero inferiore alle figure necessarie è facoltà del Dirigente Scolastico riaprire il bando oppure assegnare gli incarichi residuali distribuendoli tra gli aventi presentata candidatura in parti uguali comunque scorrendo la graduatoria, purché in possesso dei titoli richiesti. In tal caso il D.S. provvederà all'assegnazione degli incarichi senza la necessità di attendere i termini per i ricorsi. Nel principio della rotazione e pari opportunità verrà data la precedenza a coloro che non risultino già assegnatari, nello stesso anno scolastico, di ruolo equivalente, ossia avente come oggetto la stessa figura professionale (esperto o tutor) e la stessa fonte di finanziamento. Nel caso in cui non vi fossero disponibilità di figure professionali aventi diritto di precedenza, le professionalità richieste verranno selezionate, sempre in ordine di graduatoria, tra coloro che risultano già assegnatari per quanto esposto prima. Solo nel caso in cui non fosse presente alcuna professionalità interna, e nelle more della decisone di affidare l'intero percorso formativo, data la sua complessità, a enti pubblici o agenzie di formazione senza previo riscontro di professionalità interne, si farà ricorso a personale esterno individuato ai seguenti commi.</w:t>
      </w:r>
    </w:p>
    <w:p w14:paraId="1D959DF2">
      <w:pPr>
        <w:keepNext w:val="0"/>
        <w:keepLines w:val="0"/>
        <w:widowControl/>
        <w:suppressLineNumbers w:val="0"/>
        <w:pBdr>
          <w:bottom w:val="none" w:color="0A0A0A" w:sz="0" w:space="0"/>
        </w:pBdr>
        <w:spacing w:before="144" w:beforeAutospacing="0" w:after="192" w:afterAutospacing="0"/>
        <w:ind w:left="0" w:right="0"/>
        <w:jc w:val="left"/>
        <w:rPr>
          <w:rFonts w:hint="default" w:ascii="Times New Roman" w:hAnsi="Times New Roman" w:eastAsia="Arial" w:cs="Times New Roman"/>
          <w:sz w:val="24"/>
          <w:szCs w:val="24"/>
          <w:u w:val="none"/>
        </w:rPr>
      </w:pPr>
      <w:r>
        <w:rPr>
          <w:rFonts w:hint="default" w:ascii="Times New Roman" w:hAnsi="Times New Roman" w:eastAsia="Arial" w:cs="Times New Roman"/>
          <w:kern w:val="0"/>
          <w:sz w:val="24"/>
          <w:szCs w:val="24"/>
          <w:u w:val="none"/>
          <w:lang w:val="en-US" w:eastAsia="zh-CN" w:bidi="ar"/>
        </w:rPr>
        <w:t xml:space="preserve">Una volta pubblicata la graduatoria definitiva, non è più possibile presentare semplice reclamo alla scuola, ma occorre agire nelle sedi competenti: </w:t>
      </w:r>
    </w:p>
    <w:p w14:paraId="76B24848">
      <w:pPr>
        <w:keepNext w:val="0"/>
        <w:keepLines w:val="0"/>
        <w:widowControl/>
        <w:numPr>
          <w:ilvl w:val="0"/>
          <w:numId w:val="5"/>
        </w:numPr>
        <w:suppressLineNumbers w:val="0"/>
        <w:pBdr>
          <w:bottom w:val="none" w:color="0A0A0A" w:sz="0" w:space="0"/>
        </w:pBdr>
        <w:spacing w:before="0" w:beforeAutospacing="0" w:after="144" w:afterAutospacing="0"/>
        <w:ind w:left="0" w:right="0" w:hanging="360"/>
        <w:rPr>
          <w:rFonts w:hint="default" w:ascii="Times New Roman" w:hAnsi="Times New Roman" w:eastAsia="Arial" w:cs="Times New Roman"/>
          <w:sz w:val="24"/>
          <w:szCs w:val="24"/>
          <w:u w:val="none"/>
        </w:rPr>
      </w:pPr>
      <w:r>
        <w:rPr>
          <w:rStyle w:val="12"/>
          <w:rFonts w:hint="default" w:ascii="Times New Roman" w:hAnsi="Times New Roman" w:eastAsia="Arial" w:cs="Times New Roman"/>
          <w:b/>
          <w:bCs/>
          <w:sz w:val="24"/>
          <w:szCs w:val="24"/>
          <w:u w:val="none"/>
        </w:rPr>
        <w:t>T.A.R. (Tribunale Amministrativo Regionale):</w:t>
      </w:r>
      <w:r>
        <w:rPr>
          <w:rFonts w:hint="default" w:ascii="Times New Roman" w:hAnsi="Times New Roman" w:eastAsia="Arial" w:cs="Times New Roman"/>
          <w:sz w:val="24"/>
          <w:szCs w:val="24"/>
          <w:u w:val="none"/>
        </w:rPr>
        <w:t xml:space="preserve"> Ricorso giurisdizionale da proporre entro </w:t>
      </w:r>
      <w:r>
        <w:rPr>
          <w:rStyle w:val="12"/>
          <w:rFonts w:hint="default" w:ascii="Times New Roman" w:hAnsi="Times New Roman" w:eastAsia="Arial" w:cs="Times New Roman"/>
          <w:b/>
          <w:bCs/>
          <w:sz w:val="24"/>
          <w:szCs w:val="24"/>
          <w:u w:val="none"/>
        </w:rPr>
        <w:t>60 giorni</w:t>
      </w:r>
      <w:r>
        <w:rPr>
          <w:rFonts w:hint="default" w:ascii="Times New Roman" w:hAnsi="Times New Roman" w:eastAsia="Arial" w:cs="Times New Roman"/>
          <w:sz w:val="24"/>
          <w:szCs w:val="24"/>
          <w:u w:val="none"/>
        </w:rPr>
        <w:t xml:space="preserve"> dalla pubblicazione della graduatoria definitiva.</w:t>
      </w:r>
    </w:p>
    <w:p w14:paraId="4AFD4AB5">
      <w:pPr>
        <w:keepNext w:val="0"/>
        <w:keepLines w:val="0"/>
        <w:widowControl/>
        <w:numPr>
          <w:ilvl w:val="0"/>
          <w:numId w:val="5"/>
        </w:numPr>
        <w:suppressLineNumbers w:val="0"/>
        <w:pBdr>
          <w:bottom w:val="none" w:color="0A0A0A" w:sz="0" w:space="0"/>
        </w:pBdr>
        <w:spacing w:before="0" w:beforeAutospacing="0" w:after="144" w:afterAutospacing="0"/>
        <w:ind w:left="0" w:right="0" w:hanging="360"/>
        <w:rPr>
          <w:rFonts w:hint="default" w:ascii="Times New Roman" w:hAnsi="Times New Roman" w:eastAsia="Arial" w:cs="Times New Roman"/>
          <w:sz w:val="24"/>
          <w:szCs w:val="24"/>
          <w:u w:val="none"/>
        </w:rPr>
      </w:pPr>
      <w:r>
        <w:rPr>
          <w:rStyle w:val="12"/>
          <w:rFonts w:hint="default" w:ascii="Times New Roman" w:hAnsi="Times New Roman" w:eastAsia="Arial" w:cs="Times New Roman"/>
          <w:b/>
          <w:bCs/>
          <w:sz w:val="24"/>
          <w:szCs w:val="24"/>
          <w:u w:val="none"/>
        </w:rPr>
        <w:t>Ricorso Straordinario al Presidente della Repubblica:</w:t>
      </w:r>
      <w:r>
        <w:rPr>
          <w:rFonts w:hint="default" w:ascii="Times New Roman" w:hAnsi="Times New Roman" w:eastAsia="Arial" w:cs="Times New Roman"/>
          <w:sz w:val="24"/>
          <w:szCs w:val="24"/>
          <w:u w:val="none"/>
        </w:rPr>
        <w:t xml:space="preserve"> Alternativo al TAR, da proporre entro </w:t>
      </w:r>
      <w:r>
        <w:rPr>
          <w:rStyle w:val="12"/>
          <w:rFonts w:hint="default" w:ascii="Times New Roman" w:hAnsi="Times New Roman" w:eastAsia="Arial" w:cs="Times New Roman"/>
          <w:b/>
          <w:bCs/>
          <w:sz w:val="24"/>
          <w:szCs w:val="24"/>
          <w:u w:val="none"/>
        </w:rPr>
        <w:t>120 giorni</w:t>
      </w:r>
      <w:r>
        <w:rPr>
          <w:rFonts w:hint="default" w:ascii="Times New Roman" w:hAnsi="Times New Roman" w:eastAsia="Arial" w:cs="Times New Roman"/>
          <w:sz w:val="24"/>
          <w:szCs w:val="24"/>
          <w:u w:val="none"/>
        </w:rPr>
        <w:t>.</w:t>
      </w:r>
    </w:p>
    <w:p w14:paraId="6D4F69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377293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3F">
      <w:pPr>
        <w:numPr>
          <w:ilvl w:val="0"/>
          <w:numId w:val="4"/>
        </w:numPr>
        <w:ind w:left="0" w:leftChars="0" w:firstLine="0" w:firstLineChars="0"/>
        <w:jc w:val="both"/>
        <w:rPr>
          <w:rFonts w:hint="default" w:ascii="Times New Roman" w:hAnsi="Times New Roman" w:cs="Times New Roman"/>
          <w:sz w:val="24"/>
          <w:szCs w:val="24"/>
          <w:rtl w:val="0"/>
        </w:rPr>
      </w:pPr>
      <w:r>
        <w:rPr>
          <w:rFonts w:hint="default" w:ascii="Times New Roman" w:hAnsi="Times New Roman" w:cs="Times New Roman"/>
          <w:b/>
          <w:bCs/>
          <w:sz w:val="24"/>
          <w:szCs w:val="24"/>
          <w:rtl w:val="0"/>
        </w:rPr>
        <w:t>Selezione esperto/tutor esterno attraverso collaborazioni plurime o lavoro autonomo:</w:t>
      </w:r>
      <w:r>
        <w:rPr>
          <w:rFonts w:hint="default" w:ascii="Times New Roman" w:hAnsi="Times New Roman" w:cs="Times New Roman"/>
          <w:sz w:val="24"/>
          <w:szCs w:val="24"/>
          <w:rtl w:val="0"/>
        </w:rPr>
        <w:t xml:space="preserve"> In caso di assenza accertata dal D.S. tramite avviso o tramite valutazione dello stato di servizio del personale interno, si procederà, senza necessità di ulteriore autorizzazione del consiglio di istituto</w:t>
      </w:r>
      <w:r>
        <w:rPr>
          <w:rFonts w:hint="default" w:ascii="Times New Roman" w:hAnsi="Times New Roman" w:cs="Times New Roman"/>
          <w:sz w:val="24"/>
          <w:szCs w:val="24"/>
          <w:rtl w:val="0"/>
          <w:lang w:val="it-IT"/>
        </w:rPr>
        <w:t>/Commissario straordinario</w:t>
      </w:r>
      <w:r>
        <w:rPr>
          <w:rFonts w:hint="default" w:ascii="Times New Roman" w:hAnsi="Times New Roman" w:cs="Times New Roman"/>
          <w:sz w:val="24"/>
          <w:szCs w:val="24"/>
          <w:rtl w:val="0"/>
        </w:rPr>
        <w:t>, al quale comunque verrà comunicata la procedura effettuata, mediante avviso pubblico, pubblicato sul sito dell'istituzione scolastica, contenente le notizie di cui all'art. 3. All'avviso sarà allegato format di istanza di partecipazione contenente le dichiarazioni di legge e la griglia di autovalutazione titoli. L'avviso rimarrà pubblicato sul sito dell'istituto per n° 15 giorni consecutivi. La data di fine pubblicazione coinciderà con la data termine di presentazione delle istanze di partecipazione. Alla scadenza del termine utile di presentazione il dirigente scolastico provvederà alla comparazione dei curricula in autonomia o previa la nomina di una commissione di valutazione e entro 5 giorni provvederà a stilare le graduatorie provvisorie che saranno pubblicate sul sito della istituzione scolastica. Avverso alle graduatorie saranno concessi ulteriori 1</w:t>
      </w:r>
      <w:r>
        <w:rPr>
          <w:rFonts w:hint="default" w:ascii="Times New Roman" w:hAnsi="Times New Roman" w:cs="Times New Roman"/>
          <w:sz w:val="24"/>
          <w:szCs w:val="24"/>
          <w:rtl w:val="0"/>
          <w:lang w:val="it-IT"/>
        </w:rPr>
        <w:t>0</w:t>
      </w:r>
      <w:r>
        <w:rPr>
          <w:rFonts w:hint="default" w:ascii="Times New Roman" w:hAnsi="Times New Roman" w:cs="Times New Roman"/>
          <w:sz w:val="24"/>
          <w:szCs w:val="24"/>
          <w:rtl w:val="0"/>
        </w:rPr>
        <w:t xml:space="preserve"> giorni</w:t>
      </w:r>
      <w:r>
        <w:rPr>
          <w:rFonts w:hint="default" w:ascii="Times New Roman" w:hAnsi="Times New Roman" w:cs="Times New Roman"/>
          <w:sz w:val="24"/>
          <w:szCs w:val="24"/>
          <w:rtl w:val="0"/>
          <w:lang w:val="it-IT"/>
        </w:rPr>
        <w:t xml:space="preserve"> (5 per la procedura d’urgenza)</w:t>
      </w:r>
      <w:r>
        <w:rPr>
          <w:rFonts w:hint="default" w:ascii="Times New Roman" w:hAnsi="Times New Roman" w:cs="Times New Roman"/>
          <w:sz w:val="24"/>
          <w:szCs w:val="24"/>
          <w:rtl w:val="0"/>
        </w:rPr>
        <w:t>,, a far data dalla pubblicazione, per eventuali ricorsi. In assenza di ricorsi o comunque dopo aver espletato le procedure di ricorso, il Dirigente scolastico provvederà alla pubblicazione delle graduatorie definitive e al decreto di nomina degli esperti/tutor selezionati a cui seguirà contratto o lettera di incarico. Nell'eventualità che le candidature siano in numero pari o inferiore alle figure necessarie è facoltà del Dirigente Scolastico riaprire il bando oppure assegnare gli incarichi residuali distribuendoli tra gli aventi presentata candidatura in parti uguali, purché in possesso dei titoli richiesti e di provata esperienza. In tal caso il D.S. provvederà all'assegnazione degli incarichi senza la necessità di attendere i termini per i ricorsi.</w:t>
      </w:r>
    </w:p>
    <w:p w14:paraId="6D48405A">
      <w:pPr>
        <w:keepNext w:val="0"/>
        <w:keepLines w:val="0"/>
        <w:widowControl/>
        <w:suppressLineNumbers w:val="0"/>
        <w:pBdr>
          <w:bottom w:val="none" w:color="0A0A0A" w:sz="0" w:space="0"/>
        </w:pBdr>
        <w:spacing w:before="144" w:beforeAutospacing="0" w:after="192" w:afterAutospacing="0"/>
        <w:ind w:left="0" w:right="0"/>
        <w:jc w:val="left"/>
        <w:rPr>
          <w:rFonts w:hint="default" w:ascii="Times New Roman" w:hAnsi="Times New Roman" w:eastAsia="Arial" w:cs="Times New Roman"/>
          <w:sz w:val="24"/>
          <w:szCs w:val="24"/>
          <w:u w:val="none"/>
        </w:rPr>
      </w:pPr>
      <w:r>
        <w:rPr>
          <w:rFonts w:hint="default" w:ascii="Times New Roman" w:hAnsi="Times New Roman" w:eastAsia="Arial" w:cs="Times New Roman"/>
          <w:kern w:val="0"/>
          <w:sz w:val="24"/>
          <w:szCs w:val="24"/>
          <w:u w:val="none"/>
          <w:lang w:val="en-US" w:eastAsia="zh-CN" w:bidi="ar"/>
        </w:rPr>
        <w:t xml:space="preserve">Una volta pubblicata la graduatoria definitiva, non è più possibile presentare semplice reclamo alla scuola, ma occorre agire nelle sedi competenti: </w:t>
      </w:r>
    </w:p>
    <w:p w14:paraId="5DCC94F4">
      <w:pPr>
        <w:keepNext w:val="0"/>
        <w:keepLines w:val="0"/>
        <w:widowControl/>
        <w:numPr>
          <w:ilvl w:val="0"/>
          <w:numId w:val="5"/>
        </w:numPr>
        <w:suppressLineNumbers w:val="0"/>
        <w:pBdr>
          <w:bottom w:val="none" w:color="0A0A0A" w:sz="0" w:space="0"/>
        </w:pBdr>
        <w:spacing w:before="0" w:beforeAutospacing="0" w:after="144" w:afterAutospacing="0"/>
        <w:ind w:left="0" w:right="0" w:hanging="360"/>
        <w:rPr>
          <w:rFonts w:hint="default" w:ascii="Times New Roman" w:hAnsi="Times New Roman" w:eastAsia="Arial" w:cs="Times New Roman"/>
          <w:sz w:val="24"/>
          <w:szCs w:val="24"/>
          <w:u w:val="none"/>
        </w:rPr>
      </w:pPr>
      <w:r>
        <w:rPr>
          <w:rStyle w:val="12"/>
          <w:rFonts w:hint="default" w:ascii="Times New Roman" w:hAnsi="Times New Roman" w:eastAsia="Arial" w:cs="Times New Roman"/>
          <w:b/>
          <w:bCs/>
          <w:sz w:val="24"/>
          <w:szCs w:val="24"/>
          <w:u w:val="none"/>
        </w:rPr>
        <w:t>T.A.R. (Tribunale Amministrativo Regionale):</w:t>
      </w:r>
      <w:r>
        <w:rPr>
          <w:rFonts w:hint="default" w:ascii="Times New Roman" w:hAnsi="Times New Roman" w:eastAsia="Arial" w:cs="Times New Roman"/>
          <w:sz w:val="24"/>
          <w:szCs w:val="24"/>
          <w:u w:val="none"/>
        </w:rPr>
        <w:t xml:space="preserve"> Ricorso giurisdizionale da proporre entro </w:t>
      </w:r>
      <w:r>
        <w:rPr>
          <w:rStyle w:val="12"/>
          <w:rFonts w:hint="default" w:ascii="Times New Roman" w:hAnsi="Times New Roman" w:eastAsia="Arial" w:cs="Times New Roman"/>
          <w:b/>
          <w:bCs/>
          <w:sz w:val="24"/>
          <w:szCs w:val="24"/>
          <w:u w:val="none"/>
        </w:rPr>
        <w:t>60 giorni</w:t>
      </w:r>
      <w:r>
        <w:rPr>
          <w:rFonts w:hint="default" w:ascii="Times New Roman" w:hAnsi="Times New Roman" w:eastAsia="Arial" w:cs="Times New Roman"/>
          <w:sz w:val="24"/>
          <w:szCs w:val="24"/>
          <w:u w:val="none"/>
        </w:rPr>
        <w:t xml:space="preserve"> dalla pubblicazione della graduatoria definitiva.</w:t>
      </w:r>
    </w:p>
    <w:p w14:paraId="76F7586E">
      <w:pPr>
        <w:keepNext w:val="0"/>
        <w:keepLines w:val="0"/>
        <w:widowControl/>
        <w:numPr>
          <w:ilvl w:val="0"/>
          <w:numId w:val="5"/>
        </w:numPr>
        <w:suppressLineNumbers w:val="0"/>
        <w:pBdr>
          <w:bottom w:val="none" w:color="0A0A0A" w:sz="0" w:space="0"/>
        </w:pBdr>
        <w:spacing w:before="0" w:beforeAutospacing="0" w:after="144" w:afterAutospacing="0"/>
        <w:ind w:left="0" w:right="0" w:hanging="360"/>
        <w:rPr>
          <w:rFonts w:hint="default" w:ascii="Times New Roman" w:hAnsi="Times New Roman" w:eastAsia="Arial" w:cs="Times New Roman"/>
          <w:sz w:val="24"/>
          <w:szCs w:val="24"/>
          <w:u w:val="none"/>
        </w:rPr>
      </w:pPr>
      <w:r>
        <w:rPr>
          <w:rStyle w:val="12"/>
          <w:rFonts w:hint="default" w:ascii="Times New Roman" w:hAnsi="Times New Roman" w:eastAsia="Arial" w:cs="Times New Roman"/>
          <w:b/>
          <w:bCs/>
          <w:sz w:val="24"/>
          <w:szCs w:val="24"/>
          <w:u w:val="none"/>
        </w:rPr>
        <w:t>Ricorso Straordinario al Presidente della Repubblica:</w:t>
      </w:r>
      <w:r>
        <w:rPr>
          <w:rFonts w:hint="default" w:ascii="Times New Roman" w:hAnsi="Times New Roman" w:eastAsia="Arial" w:cs="Times New Roman"/>
          <w:sz w:val="24"/>
          <w:szCs w:val="24"/>
          <w:u w:val="none"/>
        </w:rPr>
        <w:t xml:space="preserve"> Alternativo al TAR, da proporre entro </w:t>
      </w:r>
      <w:r>
        <w:rPr>
          <w:rStyle w:val="12"/>
          <w:rFonts w:hint="default" w:ascii="Times New Roman" w:hAnsi="Times New Roman" w:eastAsia="Arial" w:cs="Times New Roman"/>
          <w:b/>
          <w:bCs/>
          <w:sz w:val="24"/>
          <w:szCs w:val="24"/>
          <w:u w:val="none"/>
        </w:rPr>
        <w:t>120 giorni</w:t>
      </w:r>
      <w:r>
        <w:rPr>
          <w:rFonts w:hint="default" w:ascii="Times New Roman" w:hAnsi="Times New Roman" w:eastAsia="Arial" w:cs="Times New Roman"/>
          <w:sz w:val="24"/>
          <w:szCs w:val="24"/>
          <w:u w:val="none"/>
        </w:rPr>
        <w:t>.</w:t>
      </w:r>
    </w:p>
    <w:p w14:paraId="00000041">
      <w:pPr>
        <w:jc w:val="both"/>
        <w:rPr>
          <w:rFonts w:hint="default" w:ascii="Times New Roman" w:hAnsi="Times New Roman" w:cs="Times New Roman"/>
          <w:sz w:val="24"/>
          <w:szCs w:val="24"/>
        </w:rPr>
      </w:pPr>
      <w:r>
        <w:rPr>
          <w:rFonts w:hint="default" w:ascii="Times New Roman" w:hAnsi="Times New Roman" w:cs="Times New Roman"/>
          <w:b/>
          <w:bCs/>
          <w:sz w:val="24"/>
          <w:szCs w:val="24"/>
          <w:rtl w:val="0"/>
        </w:rPr>
        <w:t>c) Selezione esperto/tutor esterno attraverso affidamento diretto:</w:t>
      </w:r>
      <w:r>
        <w:rPr>
          <w:rFonts w:hint="default" w:ascii="Times New Roman" w:hAnsi="Times New Roman" w:cs="Times New Roman"/>
          <w:sz w:val="24"/>
          <w:szCs w:val="24"/>
          <w:rtl w:val="0"/>
        </w:rPr>
        <w:t xml:space="preserve"> In caso di selezione attraverso procedura negoziale rivolta ad Agenzie di Formazione o Enti pubblici, per un affidamento inferiore ai 140.000,00 euro si procederà, ai sensi dell'art. 50 del D.Lgs. 36/2023 così come modificato dal D.Lgs. 209/2024, attraverso pubblicazione di richiesta di manifestazione di interesse pubblicata sul sito dell'istituto per i tempi previsti dal D.Lgs. 36/2023, ovvero indagine di mercato attraverso il web, ovvero selezione da albo fornitori dell'istituzione scolastica. In caso importi di piccola entità (inferiori ai 10.000,00 euro) ovvero anche per motivata urgenza o oggettive condizioni di mercato, sarà possibile procedere all'affidamento diretto senza previa consultazione di operatori economici, ai sensi dell'art. 50 del D.Lgs. 36/2023. Nel caso di affidamento diretto previa consultazione di più operatori economici la procedura verrà considerata valida anche in presenza di una sola offerta pervenuta purché ritenuta valida, economicamente conveniente e congrua con le necessità della scuola. In caso di manifestazione di interesse, in allegato alla manifestazione saranno acclusi i format di istanza di partecipazione e delle eventuali dichiarazioni sui requisiti richiesti. Al momento dell'avvio della procedura sarà possibile eliminare i parametri ritenuti non influenti ai fini della valutazione assegnando i punti eccedenti alla valutazione del curriculum degli esperti.</w:t>
      </w:r>
    </w:p>
    <w:p w14:paraId="00000042">
      <w:pPr>
        <w:pStyle w:val="4"/>
        <w:jc w:val="both"/>
        <w:rPr>
          <w:rFonts w:hint="default" w:ascii="Times New Roman" w:hAnsi="Times New Roman" w:cs="Times New Roman"/>
          <w:sz w:val="24"/>
          <w:szCs w:val="24"/>
        </w:rPr>
      </w:pPr>
      <w:bookmarkStart w:id="6" w:name="_44q1agfdbuh6" w:colFirst="0" w:colLast="0"/>
      <w:bookmarkEnd w:id="6"/>
      <w:r>
        <w:rPr>
          <w:rFonts w:hint="default" w:ascii="Times New Roman" w:hAnsi="Times New Roman" w:cs="Times New Roman"/>
          <w:sz w:val="24"/>
          <w:szCs w:val="24"/>
          <w:rtl w:val="0"/>
        </w:rPr>
        <w:t>Art. 6 (Massimali retributivi e aspetti fiscali previdenziali assistenziali)</w:t>
      </w:r>
    </w:p>
    <w:p w14:paraId="00000043">
      <w:pPr>
        <w:jc w:val="both"/>
        <w:rPr>
          <w:rFonts w:hint="default" w:ascii="Times New Roman" w:hAnsi="Times New Roman" w:cs="Times New Roman"/>
          <w:sz w:val="24"/>
          <w:szCs w:val="24"/>
        </w:rPr>
      </w:pPr>
      <w:r>
        <w:rPr>
          <w:rFonts w:hint="default" w:ascii="Times New Roman" w:hAnsi="Times New Roman" w:cs="Times New Roman"/>
          <w:sz w:val="24"/>
          <w:szCs w:val="24"/>
          <w:rtl w:val="0"/>
        </w:rPr>
        <w:t>Si distinguono i seguenti casi:</w:t>
      </w:r>
    </w:p>
    <w:p w14:paraId="000000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45">
      <w:pPr>
        <w:jc w:val="both"/>
        <w:rPr>
          <w:rFonts w:hint="default" w:ascii="Times New Roman" w:hAnsi="Times New Roman" w:cs="Times New Roman"/>
          <w:sz w:val="24"/>
          <w:szCs w:val="24"/>
        </w:rPr>
      </w:pPr>
      <w:r>
        <w:rPr>
          <w:rFonts w:hint="default" w:ascii="Times New Roman" w:hAnsi="Times New Roman" w:cs="Times New Roman"/>
          <w:b/>
          <w:bCs/>
          <w:sz w:val="24"/>
          <w:szCs w:val="24"/>
          <w:rtl w:val="0"/>
        </w:rPr>
        <w:t>a) Selezione di esperti e tutor per progetti finanziati con il Fondo Sociale Europeo su misure/azione PON MIUR (FSE - FESR):</w:t>
      </w:r>
      <w:r>
        <w:rPr>
          <w:rFonts w:hint="default" w:ascii="Times New Roman" w:hAnsi="Times New Roman" w:cs="Times New Roman"/>
          <w:sz w:val="24"/>
          <w:szCs w:val="24"/>
          <w:rtl w:val="0"/>
        </w:rPr>
        <w:t xml:space="preserve"> I compensi massimi saranno quelli attribuiti dal relativo bando e conseguente lettera di autorizzazione. I compensi saranno, ai sensi della circolare MIUR prot. n° 34815 del 02/08/2017, uguali per personale interno/esterno all'istituzione scolastica. Il conferimento di incarichi a docenti interni all'Istituzione Scolastica o a docenti appartenenti ad altre Istituzioni Scolastiche mediante il ricorso all'istituto delle collaborazioni plurime ex art. 35 CCNL del 29 novembre 2007 è assoggettato alla medesima disciplina fiscale e previdenziale prevista per i compensi erogati ai docenti interni all'Istituzione Scolastica che effettuano prestazioni aggiuntive all'orario d'obbligo. Il compenso erogato agli esperti esterni ai sensi dell'art. 7 comma 6 del D.Lgs. 30 marzo 2001, n. 165 deve essere assoggettato alle disposizioni contenute nella normativa fiscale e previdenziale in materia di lavoro autonomo (v. ritenuta d'acconto pari al 20% e obbligo di iscrizione alla Gestione Separata INPS, qualora dai contratti d'opera derivi un reddito annuo superiore a 5.000 euro, come previsto, inter alia, dalla Circolare n. 2 dell'11 marzo 2008 del Dipartimento della Funzione Pubblica e dall'art. 44, comma 2, del D.L. 30 settembre 2003, n. 269 convertito in Legge 326/2003). L'IRAP a carico del committente, in caso di importi finanziati omnicomprensivi, come PON POR etc., sarà direttamente scorporata dall'importo omnicomprensivo e versata dal committente.</w:t>
      </w:r>
    </w:p>
    <w:p w14:paraId="000000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47">
      <w:pPr>
        <w:jc w:val="both"/>
        <w:rPr>
          <w:rFonts w:hint="default" w:ascii="Times New Roman" w:hAnsi="Times New Roman" w:cs="Times New Roman"/>
          <w:sz w:val="24"/>
          <w:szCs w:val="24"/>
        </w:rPr>
      </w:pPr>
      <w:r>
        <w:rPr>
          <w:rFonts w:hint="default" w:ascii="Times New Roman" w:hAnsi="Times New Roman" w:cs="Times New Roman"/>
          <w:b/>
          <w:bCs/>
          <w:sz w:val="24"/>
          <w:szCs w:val="24"/>
          <w:rtl w:val="0"/>
        </w:rPr>
        <w:t>b) Selezione di esperti e tutor per progetti finanziati con il Fondo Sociale Europeo su misure/azione POR Regione Campania (FSE - FESR - FEASR etc. etc.):</w:t>
      </w:r>
      <w:r>
        <w:rPr>
          <w:rFonts w:hint="default" w:ascii="Times New Roman" w:hAnsi="Times New Roman" w:cs="Times New Roman"/>
          <w:sz w:val="24"/>
          <w:szCs w:val="24"/>
          <w:rtl w:val="0"/>
        </w:rPr>
        <w:t xml:space="preserve"> I compensi massimi saranno quelli attribuiti dal relativo bando e conseguente atto di concessione e/o comunque in conformità alle linee guida regionali per il POR. Il conferimento di incarichi a docenti interni all'Istituzione Scolastica o a docenti appartenenti ad altre Istituzioni Scolastiche mediante il ricorso all'istituto delle collaborazioni plurime ex art. 35 CCNL del 29 novembre 2007 è assoggettato alla medesima disciplina fiscale e previdenziale prevista per i compensi erogati ai docenti interni all'Istituzione Scolastica che effettuano prestazioni aggiuntive all'orario d'obbligo. Il compenso erogato agli esperti esterni ai sensi dell'art. 7 comma 6 del D.Lgs. 30 marzo 2001, n. 165 deve essere assoggettato alle disposizioni contenute nella normativa fiscale e previdenziale in materia di lavoro autonomo (v. ritenuta d'acconto pari al 20% e obbligo di iscrizione alla Gestione Separata INPS, qualora dai contratti d'opera derivi un reddito annuo superiore a 5.000 euro, come previsto, inter alia, dalla Circolare n. 2 dell'11 marzo 2008 del Dipartimento della Funzione Pubblica e dall'art. 44, comma 2, del D.L. 30 settembre 2003, n. 269 convertito in Legge 326/2003). L'IRAP è da considerare a carico del committente.</w:t>
      </w:r>
    </w:p>
    <w:p w14:paraId="000000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49">
      <w:pPr>
        <w:jc w:val="both"/>
        <w:rPr>
          <w:rFonts w:hint="default" w:ascii="Times New Roman" w:hAnsi="Times New Roman" w:cs="Times New Roman"/>
          <w:sz w:val="24"/>
          <w:szCs w:val="24"/>
        </w:rPr>
      </w:pPr>
      <w:r>
        <w:rPr>
          <w:rFonts w:hint="default" w:ascii="Times New Roman" w:hAnsi="Times New Roman" w:cs="Times New Roman"/>
          <w:b/>
          <w:bCs/>
          <w:sz w:val="24"/>
          <w:szCs w:val="24"/>
          <w:rtl w:val="0"/>
        </w:rPr>
        <w:t>c) Selezione di esperti e tutor per progetti finanziati dall'istituzione scolastica o con fondi diversi da quelli del Fondo Sociale Europeo (PON - POR - FESR):</w:t>
      </w:r>
      <w:r>
        <w:rPr>
          <w:rFonts w:hint="default" w:ascii="Times New Roman" w:hAnsi="Times New Roman" w:cs="Times New Roman"/>
          <w:sz w:val="24"/>
          <w:szCs w:val="24"/>
          <w:rtl w:val="0"/>
        </w:rPr>
        <w:t xml:space="preserve"> I compensi massimi attribuibili per il personale interno all'istituzione scolastica o comunque reclutato presso altre istituzioni scolastiche in base all'istituto delle collaborazioni plurime ex art. 35 CCNL del 29 novembre 2007 saranno quelli, in relazione all'incarico svolto, stabiliti dal CCNL SCUOLA. Per i contratti di lavoro autonomo, i massimali sono stabiliti in conformità al Decreto Interministeriale n. 326 del 12/10/1995, alla Circolare Ministero del Lavoro n. 101/1997 e alla nota 2/2009 del Ministero del lavoro. Il conferimento di incarichi a docenti interni all'Istituzione Scolastica o a docenti appartenenti ad altre Istituzioni Scolastiche mediante il ricorso all'istituto delle collaborazioni plurime ex art. 35 CCNL del 29 novembre 2007 è assoggettato alla medesima disciplina fiscale e previdenziale prevista per i compensi erogati ai docenti interni all'Istituzione Scolastica che effettuano prestazioni aggiuntive all'orario d'obbligo. Il compenso erogato agli esperti esterni ai sensi dell'art. 7 comma 6 del D.Lgs. 30 marzo 2001, n. 165 deve essere assoggettato alle disposizioni contenute nella normativa fiscale e previdenziale in materia di lavoro autonomo (v. ritenuta d'acconto pari al 20% e obbligo di iscrizione alla Gestione Separata INPS, qualora dai contratti d'opera derivi un reddito annuo superiore a 5.000 euro, come previsto, inter alia, dalla Circolare n. 2 dell'11 marzo 2008 del Dipartimento della Funzione Pubblica e dall'art. 44, comma 2, del D.L. 30 settembre 2003, n. 269 convertito in Legge 326/2003). L'IRAP è da considerare a carico del committente.</w:t>
      </w:r>
    </w:p>
    <w:p w14:paraId="0000004A">
      <w:pPr>
        <w:pStyle w:val="4"/>
        <w:jc w:val="both"/>
        <w:rPr>
          <w:rFonts w:hint="default" w:ascii="Times New Roman" w:hAnsi="Times New Roman" w:cs="Times New Roman"/>
          <w:sz w:val="24"/>
          <w:szCs w:val="24"/>
        </w:rPr>
      </w:pPr>
      <w:bookmarkStart w:id="7" w:name="_5kzsx9vuhloo" w:colFirst="0" w:colLast="0"/>
      <w:bookmarkEnd w:id="7"/>
      <w:r>
        <w:rPr>
          <w:rFonts w:hint="default" w:ascii="Times New Roman" w:hAnsi="Times New Roman" w:cs="Times New Roman"/>
          <w:sz w:val="24"/>
          <w:szCs w:val="24"/>
          <w:rtl w:val="0"/>
        </w:rPr>
        <w:t>Art. 7 (Stipula del contratto/lettera di incarico)</w:t>
      </w:r>
    </w:p>
    <w:p w14:paraId="0000004B">
      <w:pPr>
        <w:jc w:val="both"/>
        <w:rPr>
          <w:rFonts w:hint="default" w:ascii="Times New Roman" w:hAnsi="Times New Roman" w:cs="Times New Roman"/>
          <w:sz w:val="24"/>
          <w:szCs w:val="24"/>
        </w:rPr>
      </w:pPr>
      <w:r>
        <w:rPr>
          <w:rFonts w:hint="default" w:ascii="Times New Roman" w:hAnsi="Times New Roman" w:cs="Times New Roman"/>
          <w:sz w:val="24"/>
          <w:szCs w:val="24"/>
          <w:rtl w:val="0"/>
        </w:rPr>
        <w:t>Nei confronti dei candidati selezionati il Dirigente provvede, con determinazione motivata in relazione ai criteri definiti con il presente regolamento e nei limiti di spesa del progetto, alla stipula del contratto o lettera di incarico. Nel contratto/lettera di incarico dovranno essere specificati:</w:t>
      </w:r>
    </w:p>
    <w:p w14:paraId="0000004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4D">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L'oggetto della prestazione;</w:t>
      </w:r>
    </w:p>
    <w:p w14:paraId="0000004E">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I termini di inizio e conclusione della prestazione;</w:t>
      </w:r>
    </w:p>
    <w:p w14:paraId="0000004F">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Il corrispettivo della prestazione indicato al netto dell'imposta sul valore aggiunto, se dovuta, e della contribuzione previdenziale e fiscale divisa nelle quote a carico del lavoratore e quelle a carico dell'amministrazione;</w:t>
      </w:r>
    </w:p>
    <w:p w14:paraId="00000050">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Le modalità di pagamento del corrispettivo;</w:t>
      </w:r>
    </w:p>
    <w:p w14:paraId="00000051">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Le cause che danno luogo a risoluzione del contratto ai sensi dell'art. 1456 del C.C. e le condizioni per il ricorso delle parti al recesso unilaterale.</w:t>
      </w:r>
    </w:p>
    <w:p w14:paraId="0000005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53">
      <w:pPr>
        <w:jc w:val="both"/>
        <w:rPr>
          <w:rFonts w:hint="default" w:ascii="Times New Roman" w:hAnsi="Times New Roman" w:cs="Times New Roman"/>
          <w:sz w:val="24"/>
          <w:szCs w:val="24"/>
        </w:rPr>
      </w:pPr>
      <w:r>
        <w:rPr>
          <w:rFonts w:hint="default" w:ascii="Times New Roman" w:hAnsi="Times New Roman" w:cs="Times New Roman"/>
          <w:sz w:val="24"/>
          <w:szCs w:val="24"/>
          <w:rtl w:val="0"/>
        </w:rPr>
        <w:t>Per i titolari dei contratti deve essere previsto l'obbligo di:</w:t>
      </w:r>
    </w:p>
    <w:p w14:paraId="0000005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55">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svolgere l'incarico secondo il calendario predisposto dalla scuola;</w:t>
      </w:r>
    </w:p>
    <w:p w14:paraId="00000056">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assicurare, se necessario, la propria presenza negli incontri propedeutici all'inizio delle attività, al fine di predisporre una programmazione concordata con i docenti, e nelle manifestazioni conclusive del progetto;</w:t>
      </w:r>
    </w:p>
    <w:p w14:paraId="00000057">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documentare l'attività svolta;</w:t>
      </w:r>
    </w:p>
    <w:p w14:paraId="00000058">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autorizzare la scuola al trattamento dei dati personali conformemente alla normativa vigente (GDPR UE 2016/679).</w:t>
      </w:r>
    </w:p>
    <w:p w14:paraId="00000059">
      <w:pPr>
        <w:pStyle w:val="4"/>
        <w:jc w:val="both"/>
        <w:rPr>
          <w:rFonts w:hint="default" w:ascii="Times New Roman" w:hAnsi="Times New Roman" w:cs="Times New Roman"/>
          <w:sz w:val="24"/>
          <w:szCs w:val="24"/>
        </w:rPr>
      </w:pPr>
      <w:bookmarkStart w:id="8" w:name="_9b0ol3yv397h" w:colFirst="0" w:colLast="0"/>
      <w:bookmarkEnd w:id="8"/>
      <w:r>
        <w:rPr>
          <w:rFonts w:hint="default" w:ascii="Times New Roman" w:hAnsi="Times New Roman" w:cs="Times New Roman"/>
          <w:sz w:val="24"/>
          <w:szCs w:val="24"/>
          <w:rtl w:val="0"/>
        </w:rPr>
        <w:t>Art. 8 (Impedimenti alla stipula del contratto)</w:t>
      </w:r>
    </w:p>
    <w:p w14:paraId="0000005A">
      <w:pPr>
        <w:jc w:val="both"/>
        <w:rPr>
          <w:rFonts w:hint="default" w:ascii="Times New Roman" w:hAnsi="Times New Roman" w:cs="Times New Roman"/>
          <w:sz w:val="24"/>
          <w:szCs w:val="24"/>
        </w:rPr>
      </w:pPr>
      <w:r>
        <w:rPr>
          <w:rFonts w:hint="default" w:ascii="Times New Roman" w:hAnsi="Times New Roman" w:cs="Times New Roman"/>
          <w:sz w:val="24"/>
          <w:szCs w:val="24"/>
          <w:rtl w:val="0"/>
        </w:rPr>
        <w:t>I contratti con collaboratori esterni possono essere stipulati, ai sensi dell'art. 7 D.Lgs. 165/2001, soltanto per le prestazioni e le attività che non possono essere assegnate al personale dipendente per:</w:t>
      </w:r>
    </w:p>
    <w:p w14:paraId="000000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5C">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inesistenza di specifiche competenze professionali;</w:t>
      </w:r>
    </w:p>
    <w:p w14:paraId="0000005D">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impossibilità di espletamento da parte del personale dipendente per indisponibilità o coincidenza di altri impegni di lavoro;</w:t>
      </w:r>
    </w:p>
    <w:p w14:paraId="0000005E">
      <w:pPr>
        <w:numPr>
          <w:ilvl w:val="0"/>
          <w:numId w:val="3"/>
        </w:numPr>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tl w:val="0"/>
        </w:rPr>
        <w:t>necessità, per la loro complessità, del ricorso a una specifica professionalità esterna.</w:t>
      </w:r>
    </w:p>
    <w:p w14:paraId="0000005F">
      <w:pPr>
        <w:pStyle w:val="4"/>
        <w:jc w:val="both"/>
        <w:rPr>
          <w:rFonts w:hint="default" w:ascii="Times New Roman" w:hAnsi="Times New Roman" w:cs="Times New Roman"/>
          <w:sz w:val="24"/>
          <w:szCs w:val="24"/>
        </w:rPr>
      </w:pPr>
      <w:bookmarkStart w:id="9" w:name="_trnypx2bnh1h" w:colFirst="0" w:colLast="0"/>
      <w:bookmarkEnd w:id="9"/>
      <w:r>
        <w:rPr>
          <w:rFonts w:hint="default" w:ascii="Times New Roman" w:hAnsi="Times New Roman" w:cs="Times New Roman"/>
          <w:sz w:val="24"/>
          <w:szCs w:val="24"/>
          <w:rtl w:val="0"/>
        </w:rPr>
        <w:t>Art. 9 (Incarichi a dipendenti pubblici)</w:t>
      </w:r>
    </w:p>
    <w:p w14:paraId="00000060">
      <w:pPr>
        <w:jc w:val="both"/>
        <w:rPr>
          <w:rFonts w:hint="default" w:ascii="Times New Roman" w:hAnsi="Times New Roman" w:cs="Times New Roman"/>
          <w:sz w:val="24"/>
          <w:szCs w:val="24"/>
        </w:rPr>
      </w:pPr>
      <w:r>
        <w:rPr>
          <w:rFonts w:hint="default" w:ascii="Times New Roman" w:hAnsi="Times New Roman" w:cs="Times New Roman"/>
          <w:sz w:val="24"/>
          <w:szCs w:val="24"/>
          <w:rtl w:val="0"/>
        </w:rPr>
        <w:t>Ai fini della stipula dei contratti disciplinati dal presente regolamento con i dipendenti di altra amministrazione pubblica è richiesta obbligatoriamente la preventiva autorizzazione dell'amministrazione di appartenenza di cui all'art. 53 del D.Lgs. n. 165/2001. L'elenco dei contratti stipulati con i soggetti di cui sopra è comunicato annualmente al Dipartimento della Funzione Pubblica entro i termini previsti dall'art. 53, commi da 12 a 16 del citato D.Lgs. n. 165/2001.</w:t>
      </w:r>
    </w:p>
    <w:p w14:paraId="00000061">
      <w:pPr>
        <w:pStyle w:val="4"/>
        <w:jc w:val="both"/>
        <w:rPr>
          <w:rFonts w:hint="default" w:ascii="Times New Roman" w:hAnsi="Times New Roman" w:cs="Times New Roman"/>
          <w:sz w:val="24"/>
          <w:szCs w:val="24"/>
        </w:rPr>
      </w:pPr>
      <w:bookmarkStart w:id="10" w:name="_ma6pcmsj5ka8" w:colFirst="0" w:colLast="0"/>
      <w:bookmarkEnd w:id="10"/>
      <w:r>
        <w:rPr>
          <w:rFonts w:hint="default" w:ascii="Times New Roman" w:hAnsi="Times New Roman" w:cs="Times New Roman"/>
          <w:sz w:val="24"/>
          <w:szCs w:val="24"/>
          <w:rtl w:val="0"/>
        </w:rPr>
        <w:t>Art. 10 (Prestazioni particolari)</w:t>
      </w:r>
    </w:p>
    <w:p w14:paraId="00000062">
      <w:pPr>
        <w:jc w:val="both"/>
        <w:rPr>
          <w:rFonts w:hint="default" w:ascii="Times New Roman" w:hAnsi="Times New Roman" w:cs="Times New Roman"/>
          <w:sz w:val="24"/>
          <w:szCs w:val="24"/>
        </w:rPr>
      </w:pPr>
      <w:r>
        <w:rPr>
          <w:rFonts w:hint="default" w:ascii="Times New Roman" w:hAnsi="Times New Roman" w:cs="Times New Roman"/>
          <w:sz w:val="24"/>
          <w:szCs w:val="24"/>
          <w:rtl w:val="0"/>
        </w:rPr>
        <w:t>Per manifestazioni particolari, ristrette nel tempo, che richiedano l'intervento di personalità e professionalità particolari è possibile derogare dalla procedura e dai limiti di spesa; in tal caso si procede a chiamata diretta a discrezione del Dirigente (cosiddetto incarico Intuitu Personae) che successivamente richiederà al Consiglio di Istituto</w:t>
      </w:r>
      <w:r>
        <w:rPr>
          <w:rFonts w:hint="default" w:ascii="Times New Roman" w:hAnsi="Times New Roman" w:cs="Times New Roman"/>
          <w:sz w:val="24"/>
          <w:szCs w:val="24"/>
          <w:rtl w:val="0"/>
          <w:lang w:val="it-IT"/>
        </w:rPr>
        <w:t>/Commissario straordinario</w:t>
      </w:r>
      <w:r>
        <w:rPr>
          <w:rFonts w:hint="default" w:ascii="Times New Roman" w:hAnsi="Times New Roman" w:cs="Times New Roman"/>
          <w:sz w:val="24"/>
          <w:szCs w:val="24"/>
          <w:rtl w:val="0"/>
        </w:rPr>
        <w:t xml:space="preserve"> l'approvazione per compensi ed eventuali rimborsi spese. L'incarico dovrà riguardare un'unica azione contrattuale anche se la stessa potrà essere svolta in più interventi. In caso di prestazioni realizzate da parte di esperti a titolo gratuito per attività inerenti Progetti deliberati ed inseriti nel PTOF, con gli stessi dovrà comunque essere formalizzato un incarico scritto in cui dovranno essere indicati - tra l'altro - le modalità della prestazione e gli obblighi delle parti. Sebbene l'attività sia prestata a titolo gratuito, dovrà essere prevista la copertura assicurativa antinfortunistica e per la responsabilità civile (RCT) per la specifica vigilanza sugli alunni.</w:t>
      </w:r>
    </w:p>
    <w:p w14:paraId="00000063">
      <w:pPr>
        <w:pStyle w:val="4"/>
        <w:jc w:val="both"/>
        <w:rPr>
          <w:rFonts w:hint="default" w:ascii="Times New Roman" w:hAnsi="Times New Roman" w:cs="Times New Roman"/>
          <w:sz w:val="24"/>
          <w:szCs w:val="24"/>
        </w:rPr>
      </w:pPr>
      <w:bookmarkStart w:id="11" w:name="_82p99wo4py8l" w:colFirst="0" w:colLast="0"/>
      <w:bookmarkEnd w:id="11"/>
      <w:r>
        <w:rPr>
          <w:rFonts w:hint="default" w:ascii="Times New Roman" w:hAnsi="Times New Roman" w:cs="Times New Roman"/>
          <w:sz w:val="24"/>
          <w:szCs w:val="24"/>
          <w:rtl w:val="0"/>
        </w:rPr>
        <w:t>Art. 11 (Modifiche)</w:t>
      </w:r>
    </w:p>
    <w:p w14:paraId="00000064">
      <w:pPr>
        <w:jc w:val="both"/>
        <w:rPr>
          <w:rFonts w:hint="default" w:ascii="Times New Roman" w:hAnsi="Times New Roman" w:cs="Times New Roman"/>
          <w:sz w:val="24"/>
          <w:szCs w:val="24"/>
        </w:rPr>
      </w:pPr>
      <w:r>
        <w:rPr>
          <w:rFonts w:hint="default" w:ascii="Times New Roman" w:hAnsi="Times New Roman" w:cs="Times New Roman"/>
          <w:sz w:val="24"/>
          <w:szCs w:val="24"/>
          <w:rtl w:val="0"/>
        </w:rPr>
        <w:t>Il presente documento ha durata e validità illimitata; potrà comunque essere modificato e/o integrato dal Consiglio d'Istituto</w:t>
      </w:r>
      <w:r>
        <w:rPr>
          <w:rFonts w:hint="default" w:ascii="Times New Roman" w:hAnsi="Times New Roman" w:cs="Times New Roman"/>
          <w:sz w:val="24"/>
          <w:szCs w:val="24"/>
          <w:rtl w:val="0"/>
          <w:lang w:val="it-IT"/>
        </w:rPr>
        <w:t>/Commissario straordinario</w:t>
      </w:r>
      <w:r>
        <w:rPr>
          <w:rFonts w:hint="default" w:ascii="Times New Roman" w:hAnsi="Times New Roman" w:cs="Times New Roman"/>
          <w:sz w:val="24"/>
          <w:szCs w:val="24"/>
          <w:rtl w:val="0"/>
        </w:rPr>
        <w:t xml:space="preserve"> con apposita delibera. Esso è affisso all'albo della Scuola e pubblicato sul sito web dell'Istituzione Scolastica.</w:t>
      </w:r>
    </w:p>
    <w:p w14:paraId="000000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cs="Times New Roman"/>
          <w:sz w:val="24"/>
          <w:szCs w:val="24"/>
        </w:rPr>
      </w:pPr>
    </w:p>
    <w:p w14:paraId="00000066">
      <w:pPr>
        <w:jc w:val="both"/>
        <w:rPr>
          <w:rFonts w:hint="default" w:ascii="Times New Roman" w:hAnsi="Times New Roman" w:cs="Times New Roman"/>
          <w:sz w:val="24"/>
          <w:szCs w:val="24"/>
        </w:rPr>
      </w:pPr>
      <w:r>
        <w:rPr>
          <w:rFonts w:hint="default" w:ascii="Times New Roman" w:hAnsi="Times New Roman" w:cs="Times New Roman"/>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00000067">
      <w:pPr>
        <w:pStyle w:val="4"/>
        <w:jc w:val="both"/>
        <w:rPr>
          <w:rFonts w:hint="default" w:ascii="Times New Roman" w:hAnsi="Times New Roman" w:cs="Times New Roman"/>
          <w:sz w:val="24"/>
          <w:szCs w:val="24"/>
        </w:rPr>
      </w:pPr>
      <w:bookmarkStart w:id="12" w:name="_pmpe42u0lnqc" w:colFirst="0" w:colLast="0"/>
      <w:bookmarkEnd w:id="12"/>
      <w:r>
        <w:rPr>
          <w:rFonts w:hint="default" w:ascii="Times New Roman" w:hAnsi="Times New Roman" w:cs="Times New Roman"/>
          <w:sz w:val="24"/>
          <w:szCs w:val="24"/>
          <w:rtl w:val="0"/>
        </w:rPr>
        <w:t>ALLEGATO:</w:t>
      </w:r>
    </w:p>
    <w:p w14:paraId="00000068">
      <w:pPr>
        <w:jc w:val="both"/>
        <w:rPr>
          <w:rFonts w:hint="default" w:ascii="Times New Roman" w:hAnsi="Times New Roman" w:cs="Times New Roman"/>
          <w:sz w:val="24"/>
          <w:szCs w:val="24"/>
          <w:rtl w:val="0"/>
        </w:rPr>
      </w:pPr>
      <w:r>
        <w:rPr>
          <w:rFonts w:hint="default" w:ascii="Times New Roman" w:hAnsi="Times New Roman" w:cs="Times New Roman"/>
          <w:b/>
          <w:bCs/>
          <w:sz w:val="24"/>
          <w:szCs w:val="24"/>
          <w:rtl w:val="0"/>
        </w:rPr>
        <w:t>Modello di domanda</w:t>
      </w:r>
      <w:r>
        <w:rPr>
          <w:rFonts w:hint="default" w:ascii="Times New Roman" w:hAnsi="Times New Roman" w:cs="Times New Roman"/>
          <w:b/>
          <w:bCs/>
          <w:sz w:val="24"/>
          <w:szCs w:val="24"/>
          <w:rtl w:val="0"/>
          <w:lang w:val="it-IT"/>
        </w:rPr>
        <w:t xml:space="preserve"> </w:t>
      </w:r>
      <w:r>
        <w:rPr>
          <w:rFonts w:hint="default" w:ascii="Times New Roman" w:hAnsi="Times New Roman" w:cs="Times New Roman"/>
          <w:b/>
          <w:bCs/>
          <w:sz w:val="24"/>
          <w:szCs w:val="24"/>
          <w:rtl w:val="0"/>
        </w:rPr>
        <w:t>e griglie di valutazione titoli</w:t>
      </w:r>
      <w:r>
        <w:rPr>
          <w:rFonts w:hint="default" w:ascii="Times New Roman" w:hAnsi="Times New Roman" w:cs="Times New Roman"/>
          <w:sz w:val="24"/>
          <w:szCs w:val="24"/>
          <w:rtl w:val="0"/>
        </w:rPr>
        <w:t xml:space="preserve"> (per esperti</w:t>
      </w:r>
      <w:r>
        <w:rPr>
          <w:rFonts w:hint="default" w:ascii="Times New Roman" w:hAnsi="Times New Roman" w:cs="Times New Roman"/>
          <w:sz w:val="24"/>
          <w:szCs w:val="24"/>
          <w:rtl w:val="0"/>
          <w:lang w:val="it-IT"/>
        </w:rPr>
        <w:t xml:space="preserve"> e</w:t>
      </w:r>
      <w:r>
        <w:rPr>
          <w:rFonts w:hint="default" w:ascii="Times New Roman" w:hAnsi="Times New Roman" w:cs="Times New Roman"/>
          <w:sz w:val="24"/>
          <w:szCs w:val="24"/>
          <w:rtl w:val="0"/>
        </w:rPr>
        <w:t xml:space="preserve"> tutor interni/esterni).</w:t>
      </w:r>
    </w:p>
    <w:p w14:paraId="2E6603C9">
      <w:pPr>
        <w:wordWrap w:val="0"/>
        <w:jc w:val="right"/>
        <w:rPr>
          <w:rFonts w:hint="default" w:ascii="Times New Roman" w:hAnsi="Times New Roman" w:cs="Times New Roman"/>
          <w:sz w:val="24"/>
          <w:szCs w:val="24"/>
          <w:rtl w:val="0"/>
          <w:lang w:val="it-IT"/>
        </w:rPr>
      </w:pPr>
    </w:p>
    <w:p w14:paraId="4AA0C059">
      <w:pPr>
        <w:wordWrap/>
        <w:jc w:val="right"/>
        <w:rPr>
          <w:rFonts w:hint="default" w:ascii="Times New Roman" w:hAnsi="Times New Roman" w:cs="Times New Roman"/>
          <w:sz w:val="24"/>
          <w:szCs w:val="24"/>
          <w:rtl w:val="0"/>
          <w:lang w:val="it-IT"/>
        </w:rPr>
      </w:pPr>
      <w:r>
        <w:drawing>
          <wp:inline distT="0" distB="0" distL="0" distR="0">
            <wp:extent cx="2995295" cy="1320165"/>
            <wp:effectExtent l="0" t="0" r="6985" b="5715"/>
            <wp:docPr id="21399859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85904"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995295" cy="1320165"/>
                    </a:xfrm>
                    <a:prstGeom prst="rect">
                      <a:avLst/>
                    </a:prstGeom>
                    <a:noFill/>
                    <a:ln>
                      <a:noFill/>
                    </a:ln>
                  </pic:spPr>
                </pic:pic>
              </a:graphicData>
            </a:graphic>
          </wp:inline>
        </w:drawing>
      </w:r>
    </w:p>
    <w:sectPr>
      <w:pgSz w:w="12240" w:h="15840"/>
      <w:pgMar w:top="1440" w:right="1440" w:bottom="1440" w:left="1440" w:header="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AB599BE6-B663-4B0E-B8BE-BD82024F1A90}"/>
  </w:font>
  <w:font w:name="Arial">
    <w:panose1 w:val="020B0604020202020204"/>
    <w:charset w:val="00"/>
    <w:family w:val="swiss"/>
    <w:pitch w:val="default"/>
    <w:sig w:usb0="E0002EFF" w:usb1="C000785B" w:usb2="00000009" w:usb3="00000000" w:csb0="400001FF" w:csb1="FFFF0000"/>
    <w:embedRegular r:id="rId2" w:fontKey="{6031A6F7-E77A-467A-AA38-483F49C3EC8B}"/>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0111679F-39C6-483A-8332-087266D54AFB}"/>
  </w:font>
  <w:font w:name="Wingdings">
    <w:panose1 w:val="05000000000000000000"/>
    <w:charset w:val="02"/>
    <w:family w:val="auto"/>
    <w:pitch w:val="default"/>
    <w:sig w:usb0="00000000" w:usb1="00000000" w:usb2="00000000" w:usb3="00000000" w:csb0="80000000" w:csb1="00000000"/>
    <w:embedRegular r:id="rId4" w:fontKey="{0540C680-46A4-411D-B97E-9EB92CECDE5D}"/>
  </w:font>
  <w:font w:name="Calibri">
    <w:panose1 w:val="020F0502020204030204"/>
    <w:charset w:val="00"/>
    <w:family w:val="swiss"/>
    <w:pitch w:val="default"/>
    <w:sig w:usb0="E4002EFF" w:usb1="C200247B" w:usb2="00000009" w:usb3="00000000" w:csb0="200001FF" w:csb1="00000000"/>
    <w:embedRegular r:id="rId5" w:fontKey="{4F514B81-F482-4D3F-9EFE-DDBD75D90DBE}"/>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6" w:fontKey="{47BD44A5-B6F4-4870-A135-1CCA4F07EE67}"/>
  </w:font>
  <w:font w:name="Symbol">
    <w:panose1 w:val="05050102010706020507"/>
    <w:charset w:val="00"/>
    <w:family w:val="auto"/>
    <w:pitch w:val="default"/>
    <w:sig w:usb0="00000000" w:usb1="00000000" w:usb2="00000000" w:usb3="00000000" w:csb0="80000000" w:csb1="00000000"/>
    <w:embedRegular r:id="rId7" w:fontKey="{1F6FD6B1-B21D-4B1E-8FB5-FBC823EFA7F1}"/>
  </w:font>
  <w:font w:name="Cambria">
    <w:panose1 w:val="02040503050406030204"/>
    <w:charset w:val="00"/>
    <w:family w:val="auto"/>
    <w:pitch w:val="default"/>
    <w:sig w:usb0="E00006FF" w:usb1="420024FF" w:usb2="02000000" w:usb3="00000000" w:csb0="2000019F" w:csb1="00000000"/>
    <w:embedRegular r:id="rId8" w:fontKey="{54F1228C-C986-45B2-BDE1-AA8E46F0BF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bullet"/>
      <w:lvlText w:val="-"/>
      <w:lvlJc w:val="left"/>
      <w:pPr>
        <w:ind w:left="720" w:hanging="360"/>
      </w:pPr>
      <w:rPr>
        <w:rFonts w:ascii="Arial" w:hAnsi="Arial" w:eastAsia="Arial" w:cs="Arial"/>
        <w:b w:val="0"/>
        <w:bCs w:val="0"/>
        <w:i w:val="0"/>
        <w:iCs w:val="0"/>
        <w:smallCaps w:val="0"/>
        <w:strike w:val="0"/>
        <w:color w:val="000000"/>
        <w:sz w:val="22"/>
        <w:szCs w:val="22"/>
        <w:u w:val="none"/>
        <w:shd w:val="clear" w:fill="auto"/>
        <w:vertAlign w:val="baseline"/>
      </w:rPr>
    </w:lvl>
    <w:lvl w:ilvl="1" w:tentative="0">
      <w:start w:val="1"/>
      <w:numFmt w:val="lowerLetter"/>
      <w:lvlText w:val="%2."/>
      <w:lvlJc w:val="left"/>
      <w:pPr>
        <w:ind w:left="1440" w:hanging="360"/>
      </w:pPr>
      <w:rPr>
        <w:rFonts w:ascii="Arial" w:hAnsi="Arial" w:eastAsia="Arial" w:cs="Arial"/>
        <w:b w:val="0"/>
        <w:bCs w:val="0"/>
        <w:i w:val="0"/>
        <w:iCs w:val="0"/>
        <w:smallCaps w:val="0"/>
        <w:strike w:val="0"/>
        <w:color w:val="000000"/>
        <w:sz w:val="22"/>
        <w:szCs w:val="22"/>
        <w:u w:val="none"/>
        <w:shd w:val="clear" w:fill="auto"/>
        <w:vertAlign w:val="baseline"/>
      </w:rPr>
    </w:lvl>
    <w:lvl w:ilvl="2" w:tentative="0">
      <w:start w:val="1"/>
      <w:numFmt w:val="lowerRoman"/>
      <w:lvlText w:val="%3."/>
      <w:lvlJc w:val="right"/>
      <w:pPr>
        <w:ind w:left="2160" w:hanging="360"/>
      </w:pPr>
      <w:rPr>
        <w:rFonts w:ascii="Arial" w:hAnsi="Arial" w:eastAsia="Arial" w:cs="Arial"/>
        <w:b w:val="0"/>
        <w:bCs w:val="0"/>
        <w:i w:val="0"/>
        <w:iCs w:val="0"/>
        <w:smallCaps w:val="0"/>
        <w:strike w:val="0"/>
        <w:color w:val="000000"/>
        <w:sz w:val="22"/>
        <w:szCs w:val="22"/>
        <w:u w:val="none"/>
        <w:shd w:val="clear" w:fill="auto"/>
        <w:vertAlign w:val="baseline"/>
      </w:rPr>
    </w:lvl>
    <w:lvl w:ilvl="3" w:tentative="0">
      <w:start w:val="1"/>
      <w:numFmt w:val="decimal"/>
      <w:lvlText w:val="%4."/>
      <w:lvlJc w:val="left"/>
      <w:pPr>
        <w:ind w:left="2880" w:hanging="360"/>
      </w:pPr>
      <w:rPr>
        <w:rFonts w:ascii="Arial" w:hAnsi="Arial" w:eastAsia="Arial" w:cs="Arial"/>
        <w:b w:val="0"/>
        <w:bCs w:val="0"/>
        <w:i w:val="0"/>
        <w:iCs w:val="0"/>
        <w:smallCaps w:val="0"/>
        <w:strike w:val="0"/>
        <w:color w:val="000000"/>
        <w:sz w:val="22"/>
        <w:szCs w:val="22"/>
        <w:u w:val="none"/>
        <w:shd w:val="clear" w:fill="auto"/>
        <w:vertAlign w:val="baseline"/>
      </w:rPr>
    </w:lvl>
    <w:lvl w:ilvl="4" w:tentative="0">
      <w:start w:val="1"/>
      <w:numFmt w:val="lowerLetter"/>
      <w:lvlText w:val="%5."/>
      <w:lvlJc w:val="left"/>
      <w:pPr>
        <w:ind w:left="3600" w:hanging="360"/>
      </w:pPr>
      <w:rPr>
        <w:rFonts w:ascii="Arial" w:hAnsi="Arial" w:eastAsia="Arial" w:cs="Arial"/>
        <w:b w:val="0"/>
        <w:bCs w:val="0"/>
        <w:i w:val="0"/>
        <w:iCs w:val="0"/>
        <w:smallCaps w:val="0"/>
        <w:strike w:val="0"/>
        <w:color w:val="000000"/>
        <w:sz w:val="22"/>
        <w:szCs w:val="22"/>
        <w:u w:val="none"/>
        <w:shd w:val="clear" w:fill="auto"/>
        <w:vertAlign w:val="baseline"/>
      </w:rPr>
    </w:lvl>
    <w:lvl w:ilvl="5" w:tentative="0">
      <w:start w:val="1"/>
      <w:numFmt w:val="lowerRoman"/>
      <w:lvlText w:val="%6."/>
      <w:lvlJc w:val="right"/>
      <w:pPr>
        <w:ind w:left="4320" w:hanging="360"/>
      </w:pPr>
      <w:rPr>
        <w:rFonts w:ascii="Arial" w:hAnsi="Arial" w:eastAsia="Arial" w:cs="Arial"/>
        <w:b w:val="0"/>
        <w:bCs w:val="0"/>
        <w:i w:val="0"/>
        <w:iCs w:val="0"/>
        <w:smallCaps w:val="0"/>
        <w:strike w:val="0"/>
        <w:color w:val="000000"/>
        <w:sz w:val="22"/>
        <w:szCs w:val="22"/>
        <w:u w:val="none"/>
        <w:shd w:val="clear" w:fill="auto"/>
        <w:vertAlign w:val="baseline"/>
      </w:rPr>
    </w:lvl>
    <w:lvl w:ilvl="6" w:tentative="0">
      <w:start w:val="1"/>
      <w:numFmt w:val="decimal"/>
      <w:lvlText w:val="%7."/>
      <w:lvlJc w:val="left"/>
      <w:pPr>
        <w:ind w:left="5040" w:hanging="360"/>
      </w:pPr>
      <w:rPr>
        <w:rFonts w:ascii="Arial" w:hAnsi="Arial" w:eastAsia="Arial" w:cs="Arial"/>
        <w:b w:val="0"/>
        <w:bCs w:val="0"/>
        <w:i w:val="0"/>
        <w:iCs w:val="0"/>
        <w:smallCaps w:val="0"/>
        <w:strike w:val="0"/>
        <w:color w:val="000000"/>
        <w:sz w:val="22"/>
        <w:szCs w:val="22"/>
        <w:u w:val="none"/>
        <w:shd w:val="clear" w:fill="auto"/>
        <w:vertAlign w:val="baseline"/>
      </w:rPr>
    </w:lvl>
    <w:lvl w:ilvl="7" w:tentative="0">
      <w:start w:val="1"/>
      <w:numFmt w:val="lowerLetter"/>
      <w:lvlText w:val="%8."/>
      <w:lvlJc w:val="left"/>
      <w:pPr>
        <w:ind w:left="5760" w:hanging="360"/>
      </w:pPr>
      <w:rPr>
        <w:rFonts w:ascii="Arial" w:hAnsi="Arial" w:eastAsia="Arial" w:cs="Arial"/>
        <w:b w:val="0"/>
        <w:bCs w:val="0"/>
        <w:i w:val="0"/>
        <w:iCs w:val="0"/>
        <w:smallCaps w:val="0"/>
        <w:strike w:val="0"/>
        <w:color w:val="000000"/>
        <w:sz w:val="22"/>
        <w:szCs w:val="22"/>
        <w:u w:val="none"/>
        <w:shd w:val="clear" w:fill="auto"/>
        <w:vertAlign w:val="baseline"/>
      </w:rPr>
    </w:lvl>
    <w:lvl w:ilvl="8" w:tentative="0">
      <w:start w:val="1"/>
      <w:numFmt w:val="lowerRoman"/>
      <w:lvlText w:val="%9."/>
      <w:lvlJc w:val="right"/>
      <w:pPr>
        <w:ind w:left="6480" w:hanging="360"/>
      </w:pPr>
      <w:rPr>
        <w:rFonts w:ascii="Arial" w:hAnsi="Arial" w:eastAsia="Arial" w:cs="Arial"/>
        <w:b w:val="0"/>
        <w:bCs w:val="0"/>
        <w:i w:val="0"/>
        <w:iCs w:val="0"/>
        <w:smallCaps w:val="0"/>
        <w:strike w:val="0"/>
        <w:color w:val="000000"/>
        <w:sz w:val="22"/>
        <w:szCs w:val="22"/>
        <w:u w:val="none"/>
        <w:shd w:val="clear" w:fill="auto"/>
        <w:vertAlign w:val="baseline"/>
      </w:rPr>
    </w:lvl>
  </w:abstractNum>
  <w:abstractNum w:abstractNumId="1">
    <w:nsid w:val="0053208E"/>
    <w:multiLevelType w:val="multilevel"/>
    <w:tmpl w:val="0053208E"/>
    <w:lvl w:ilvl="0" w:tentative="0">
      <w:start w:val="1"/>
      <w:numFmt w:val="decimal"/>
      <w:lvlText w:val="%1."/>
      <w:lvlJc w:val="left"/>
      <w:pPr>
        <w:ind w:left="720" w:hanging="360"/>
      </w:pPr>
      <w:rPr>
        <w:rFonts w:ascii="Arial" w:hAnsi="Arial" w:eastAsia="Arial" w:cs="Arial"/>
        <w:b w:val="0"/>
        <w:bCs w:val="0"/>
        <w:i w:val="0"/>
        <w:iCs w:val="0"/>
        <w:smallCaps w:val="0"/>
        <w:strike w:val="0"/>
        <w:color w:val="000000"/>
        <w:sz w:val="22"/>
        <w:szCs w:val="22"/>
        <w:u w:val="none"/>
        <w:shd w:val="clear" w:fill="auto"/>
        <w:vertAlign w:val="baseline"/>
      </w:rPr>
    </w:lvl>
    <w:lvl w:ilvl="1" w:tentative="0">
      <w:start w:val="1"/>
      <w:numFmt w:val="lowerLetter"/>
      <w:lvlText w:val="%2."/>
      <w:lvlJc w:val="left"/>
      <w:pPr>
        <w:ind w:left="1440" w:hanging="360"/>
      </w:pPr>
      <w:rPr>
        <w:rFonts w:ascii="Arial" w:hAnsi="Arial" w:eastAsia="Arial" w:cs="Arial"/>
        <w:b w:val="0"/>
        <w:bCs w:val="0"/>
        <w:i w:val="0"/>
        <w:iCs w:val="0"/>
        <w:smallCaps w:val="0"/>
        <w:strike w:val="0"/>
        <w:color w:val="000000"/>
        <w:sz w:val="22"/>
        <w:szCs w:val="22"/>
        <w:u w:val="none"/>
        <w:shd w:val="clear" w:fill="auto"/>
        <w:vertAlign w:val="baseline"/>
      </w:rPr>
    </w:lvl>
    <w:lvl w:ilvl="2" w:tentative="0">
      <w:start w:val="1"/>
      <w:numFmt w:val="lowerRoman"/>
      <w:lvlText w:val="%3."/>
      <w:lvlJc w:val="right"/>
      <w:pPr>
        <w:ind w:left="2160" w:hanging="360"/>
      </w:pPr>
      <w:rPr>
        <w:rFonts w:ascii="Arial" w:hAnsi="Arial" w:eastAsia="Arial" w:cs="Arial"/>
        <w:b w:val="0"/>
        <w:bCs w:val="0"/>
        <w:i w:val="0"/>
        <w:iCs w:val="0"/>
        <w:smallCaps w:val="0"/>
        <w:strike w:val="0"/>
        <w:color w:val="000000"/>
        <w:sz w:val="22"/>
        <w:szCs w:val="22"/>
        <w:u w:val="none"/>
        <w:shd w:val="clear" w:fill="auto"/>
        <w:vertAlign w:val="baseline"/>
      </w:rPr>
    </w:lvl>
    <w:lvl w:ilvl="3" w:tentative="0">
      <w:start w:val="1"/>
      <w:numFmt w:val="decimal"/>
      <w:lvlText w:val="%4."/>
      <w:lvlJc w:val="left"/>
      <w:pPr>
        <w:ind w:left="2880" w:hanging="360"/>
      </w:pPr>
      <w:rPr>
        <w:rFonts w:ascii="Arial" w:hAnsi="Arial" w:eastAsia="Arial" w:cs="Arial"/>
        <w:b w:val="0"/>
        <w:bCs w:val="0"/>
        <w:i w:val="0"/>
        <w:iCs w:val="0"/>
        <w:smallCaps w:val="0"/>
        <w:strike w:val="0"/>
        <w:color w:val="000000"/>
        <w:sz w:val="22"/>
        <w:szCs w:val="22"/>
        <w:u w:val="none"/>
        <w:shd w:val="clear" w:fill="auto"/>
        <w:vertAlign w:val="baseline"/>
      </w:rPr>
    </w:lvl>
    <w:lvl w:ilvl="4" w:tentative="0">
      <w:start w:val="1"/>
      <w:numFmt w:val="lowerLetter"/>
      <w:lvlText w:val="%5."/>
      <w:lvlJc w:val="left"/>
      <w:pPr>
        <w:ind w:left="3600" w:hanging="360"/>
      </w:pPr>
      <w:rPr>
        <w:rFonts w:ascii="Arial" w:hAnsi="Arial" w:eastAsia="Arial" w:cs="Arial"/>
        <w:b w:val="0"/>
        <w:bCs w:val="0"/>
        <w:i w:val="0"/>
        <w:iCs w:val="0"/>
        <w:smallCaps w:val="0"/>
        <w:strike w:val="0"/>
        <w:color w:val="000000"/>
        <w:sz w:val="22"/>
        <w:szCs w:val="22"/>
        <w:u w:val="none"/>
        <w:shd w:val="clear" w:fill="auto"/>
        <w:vertAlign w:val="baseline"/>
      </w:rPr>
    </w:lvl>
    <w:lvl w:ilvl="5" w:tentative="0">
      <w:start w:val="1"/>
      <w:numFmt w:val="lowerRoman"/>
      <w:lvlText w:val="%6."/>
      <w:lvlJc w:val="right"/>
      <w:pPr>
        <w:ind w:left="4320" w:hanging="360"/>
      </w:pPr>
      <w:rPr>
        <w:rFonts w:ascii="Arial" w:hAnsi="Arial" w:eastAsia="Arial" w:cs="Arial"/>
        <w:b w:val="0"/>
        <w:bCs w:val="0"/>
        <w:i w:val="0"/>
        <w:iCs w:val="0"/>
        <w:smallCaps w:val="0"/>
        <w:strike w:val="0"/>
        <w:color w:val="000000"/>
        <w:sz w:val="22"/>
        <w:szCs w:val="22"/>
        <w:u w:val="none"/>
        <w:shd w:val="clear" w:fill="auto"/>
        <w:vertAlign w:val="baseline"/>
      </w:rPr>
    </w:lvl>
    <w:lvl w:ilvl="6" w:tentative="0">
      <w:start w:val="1"/>
      <w:numFmt w:val="decimal"/>
      <w:lvlText w:val="%7."/>
      <w:lvlJc w:val="left"/>
      <w:pPr>
        <w:ind w:left="5040" w:hanging="360"/>
      </w:pPr>
      <w:rPr>
        <w:rFonts w:ascii="Arial" w:hAnsi="Arial" w:eastAsia="Arial" w:cs="Arial"/>
        <w:b w:val="0"/>
        <w:bCs w:val="0"/>
        <w:i w:val="0"/>
        <w:iCs w:val="0"/>
        <w:smallCaps w:val="0"/>
        <w:strike w:val="0"/>
        <w:color w:val="000000"/>
        <w:sz w:val="22"/>
        <w:szCs w:val="22"/>
        <w:u w:val="none"/>
        <w:shd w:val="clear" w:fill="auto"/>
        <w:vertAlign w:val="baseline"/>
      </w:rPr>
    </w:lvl>
    <w:lvl w:ilvl="7" w:tentative="0">
      <w:start w:val="1"/>
      <w:numFmt w:val="lowerLetter"/>
      <w:lvlText w:val="%8."/>
      <w:lvlJc w:val="left"/>
      <w:pPr>
        <w:ind w:left="5760" w:hanging="360"/>
      </w:pPr>
      <w:rPr>
        <w:rFonts w:ascii="Arial" w:hAnsi="Arial" w:eastAsia="Arial" w:cs="Arial"/>
        <w:b w:val="0"/>
        <w:bCs w:val="0"/>
        <w:i w:val="0"/>
        <w:iCs w:val="0"/>
        <w:smallCaps w:val="0"/>
        <w:strike w:val="0"/>
        <w:color w:val="000000"/>
        <w:sz w:val="22"/>
        <w:szCs w:val="22"/>
        <w:u w:val="none"/>
        <w:shd w:val="clear" w:fill="auto"/>
        <w:vertAlign w:val="baseline"/>
      </w:rPr>
    </w:lvl>
    <w:lvl w:ilvl="8" w:tentative="0">
      <w:start w:val="1"/>
      <w:numFmt w:val="lowerRoman"/>
      <w:lvlText w:val="%9."/>
      <w:lvlJc w:val="right"/>
      <w:pPr>
        <w:ind w:left="6480" w:hanging="360"/>
      </w:pPr>
      <w:rPr>
        <w:rFonts w:ascii="Arial" w:hAnsi="Arial" w:eastAsia="Arial" w:cs="Arial"/>
        <w:b w:val="0"/>
        <w:bCs w:val="0"/>
        <w:i w:val="0"/>
        <w:iCs w:val="0"/>
        <w:smallCaps w:val="0"/>
        <w:strike w:val="0"/>
        <w:color w:val="000000"/>
        <w:sz w:val="22"/>
        <w:szCs w:val="22"/>
        <w:u w:val="none"/>
        <w:shd w:val="clear" w:fill="auto"/>
        <w:vertAlign w:val="baseline"/>
      </w:rPr>
    </w:lvl>
  </w:abstractNum>
  <w:abstractNum w:abstractNumId="2">
    <w:nsid w:val="3F4D5E16"/>
    <w:multiLevelType w:val="multilevel"/>
    <w:tmpl w:val="3F4D5E1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5D987350"/>
    <w:multiLevelType w:val="singleLevel"/>
    <w:tmpl w:val="5D987350"/>
    <w:lvl w:ilvl="0" w:tentative="0">
      <w:start w:val="1"/>
      <w:numFmt w:val="lowerLetter"/>
      <w:suff w:val="space"/>
      <w:lvlText w:val="%1)"/>
      <w:lvlJc w:val="left"/>
    </w:lvl>
  </w:abstractNum>
  <w:abstractNum w:abstractNumId="4">
    <w:nsid w:val="7C4E5EB5"/>
    <w:multiLevelType w:val="singleLevel"/>
    <w:tmpl w:val="7C4E5EB5"/>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07F923A1"/>
    <w:rsid w:val="093F3C1C"/>
    <w:rsid w:val="0D5C0AD7"/>
    <w:rsid w:val="103649FB"/>
    <w:rsid w:val="25FD1AC7"/>
    <w:rsid w:val="32A53353"/>
    <w:rsid w:val="59AE4AAE"/>
    <w:rsid w:val="5EAD7910"/>
    <w:rsid w:val="63A958E9"/>
    <w:rsid w:val="663F0442"/>
    <w:rsid w:val="67783630"/>
    <w:rsid w:val="694542C0"/>
    <w:rsid w:val="6C5F6B92"/>
    <w:rsid w:val="700233CF"/>
    <w:rsid w:val="70BF7006"/>
    <w:rsid w:val="778362B0"/>
    <w:rsid w:val="79572523"/>
    <w:rsid w:val="7B8C0E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Body Text"/>
    <w:basedOn w:val="1"/>
    <w:qFormat/>
    <w:uiPriority w:val="1"/>
    <w:rPr>
      <w:rFonts w:ascii="Times New Roman" w:hAnsi="Times New Roman" w:eastAsia="Times New Roman" w:cs="Times New Roman"/>
      <w:sz w:val="20"/>
      <w:szCs w:val="20"/>
      <w:lang w:val="it-IT" w:eastAsia="en-US" w:bidi="ar-SA"/>
    </w:rPr>
  </w:style>
  <w:style w:type="character" w:styleId="11">
    <w:name w:val="Hyperlink"/>
    <w:basedOn w:val="8"/>
    <w:qFormat/>
    <w:uiPriority w:val="0"/>
    <w:rPr>
      <w:color w:val="0000FF"/>
      <w:u w:val="single"/>
    </w:rPr>
  </w:style>
  <w:style w:type="character" w:styleId="12">
    <w:name w:val="Strong"/>
    <w:basedOn w:val="8"/>
    <w:qFormat/>
    <w:uiPriority w:val="0"/>
    <w:rPr>
      <w:b/>
      <w:bCs/>
    </w:rPr>
  </w:style>
  <w:style w:type="paragraph" w:styleId="13">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styleId="14">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qFormat/>
    <w:uiPriority w:val="0"/>
    <w:pPr>
      <w:keepNext/>
      <w:keepLines/>
      <w:pageBreakBefore w:val="0"/>
      <w:spacing w:before="0" w:after="60"/>
    </w:pPr>
    <w:rPr>
      <w:sz w:val="52"/>
      <w:szCs w:val="52"/>
    </w:rPr>
  </w:style>
  <w:style w:type="table" w:customStyle="1" w:styleId="16">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11</Pages>
  <Words>3985</Words>
  <Characters>24403</Characters>
  <TotalTime>0</TotalTime>
  <ScaleCrop>false</ScaleCrop>
  <LinksUpToDate>false</LinksUpToDate>
  <CharactersWithSpaces>28394</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2026-10-10T21:32:00Z</dcterms:created>
  <dc:creator>Utente</dc:creator>
  <cp:lastModifiedBy>Angela Dorio</cp:lastModifiedBy>
  <dcterms:modified xsi:type="dcterms:W3CDTF">2026-10-11T17:00:43Z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eyJoZGlkIjoiMjI3YmFkOTdhY2U4NzhmZjcyODgxYTVmNTM0NDg0MzQiLCJ1c2VySWQiOiIzNzI4MzgxOTkyOTIxIn0=</vt:lpwstr>
  </property>
  <property fmtid="{D5CDD505-2E9C-101B-9397-08002B2CF9AE}" pid="3" name="KSOProductBuildVer">
    <vt:lpwstr>1033-12.1.0.26880</vt:lpwstr>
  </property>
  <property fmtid="{D5CDD505-2E9C-101B-9397-08002B2CF9AE}" pid="4" name="ICV">
    <vt:lpwstr>4AC4773C583C4BCCA857DE83A3047AB0_12</vt:lpwstr>
  </property>
</Properties>
</file>