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789E1A">
      <w:pPr>
        <w:spacing w:beforeLines="0" w:afterLines="0"/>
        <w:jc w:val="left"/>
        <w:rPr>
          <w:rFonts w:hint="default" w:ascii="Calibri" w:hAnsi="Calibri" w:eastAsia="Calibri"/>
          <w:color w:val="000000"/>
          <w:sz w:val="24"/>
          <w:szCs w:val="24"/>
        </w:rPr>
      </w:pPr>
    </w:p>
    <w:p w14:paraId="6D5FE76B">
      <w:pPr>
        <w:spacing w:beforeLines="0" w:afterLines="0"/>
        <w:jc w:val="left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5271770" cy="578485"/>
            <wp:effectExtent l="0" t="0" r="1270" b="635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7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1B937">
      <w:pPr>
        <w:spacing w:beforeLines="0" w:afterLines="0"/>
        <w:jc w:val="left"/>
        <w:rPr>
          <w:sz w:val="24"/>
          <w:szCs w:val="24"/>
        </w:rPr>
      </w:pPr>
    </w:p>
    <w:p w14:paraId="7C6F6884">
      <w:pPr>
        <w:spacing w:beforeLines="0" w:afterLines="0"/>
        <w:jc w:val="both"/>
        <w:rPr>
          <w:rFonts w:hint="default" w:ascii="Times New Roman" w:hAnsi="Times New Roman" w:eastAsia="Calibri-Bold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>PIANO NAZIONALE DI RIPRESA E RESILIENZA -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00B0F0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2"/>
      </w:tblGrid>
      <w:tr w14:paraId="5FAB7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00B0F0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4" w:hRule="atLeast"/>
          <w:jc w:val="center"/>
        </w:trPr>
        <w:tc>
          <w:tcPr>
            <w:tcW w:w="9142" w:type="dxa"/>
            <w:shd w:val="clear" w:color="auto" w:fill="auto"/>
          </w:tcPr>
          <w:p w14:paraId="6F09EFF1">
            <w:pPr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12" w:lineRule="atLeast"/>
              <w:ind w:left="0" w:firstLine="0"/>
              <w:jc w:val="both"/>
              <w:rPr>
                <w:rFonts w:hint="default" w:ascii="Tahoma" w:hAnsi="Tahoma" w:eastAsia="Tahoma" w:cs="Tahoma"/>
                <w:i w:val="0"/>
                <w:iCs w:val="0"/>
                <w:caps w:val="0"/>
                <w:color w:val="1A1A1A"/>
                <w:spacing w:val="0"/>
                <w:kern w:val="0"/>
                <w:sz w:val="19"/>
                <w:szCs w:val="19"/>
                <w:shd w:val="clear" w:fill="FFFFFF"/>
                <w:lang w:val="it-IT" w:eastAsia="zh-CN" w:bidi="ar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aps w:val="0"/>
                <w:color w:val="1A1A1A"/>
                <w:spacing w:val="0"/>
                <w:sz w:val="19"/>
                <w:szCs w:val="19"/>
                <w:shd w:val="clear" w:fill="FFFFFF"/>
                <w:lang w:val="it-IT"/>
              </w:rPr>
              <w:t>P</w:t>
            </w:r>
            <w:r>
              <w:rPr>
                <w:rFonts w:ascii="Tahoma" w:hAnsi="Tahoma" w:eastAsia="Tahoma" w:cs="Tahoma"/>
                <w:i w:val="0"/>
                <w:iCs w:val="0"/>
                <w:caps w:val="0"/>
                <w:color w:val="1A1A1A"/>
                <w:spacing w:val="0"/>
                <w:sz w:val="19"/>
                <w:szCs w:val="19"/>
                <w:shd w:val="clear" w:fill="FFFFFF"/>
              </w:rPr>
              <w:t xml:space="preserve">iano </w:t>
            </w:r>
            <w:r>
              <w:rPr>
                <w:rFonts w:hint="default" w:ascii="Tahoma" w:hAnsi="Tahoma" w:eastAsia="Tahoma" w:cs="Tahoma"/>
                <w:i w:val="0"/>
                <w:iCs w:val="0"/>
                <w:caps w:val="0"/>
                <w:color w:val="1A1A1A"/>
                <w:spacing w:val="0"/>
                <w:sz w:val="19"/>
                <w:szCs w:val="19"/>
                <w:shd w:val="clear" w:fill="FFFFFF"/>
                <w:lang w:val="it-IT"/>
              </w:rPr>
              <w:t xml:space="preserve">Estate 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aps w:val="0"/>
                <w:color w:val="1A1A1A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Azione: ESO4.6.A4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aps w:val="0"/>
                <w:color w:val="1A1A1A"/>
                <w:spacing w:val="0"/>
                <w:kern w:val="0"/>
                <w:sz w:val="24"/>
                <w:szCs w:val="24"/>
                <w:shd w:val="clear" w:fill="FFFFFF"/>
                <w:lang w:val="it-IT" w:eastAsia="zh-CN" w:bidi="ar"/>
              </w:rPr>
              <w:t xml:space="preserve"> </w:t>
            </w:r>
            <w:r>
              <w:rPr>
                <w:rFonts w:hint="default" w:ascii="Tahoma" w:hAnsi="Tahoma" w:eastAsia="Tahoma" w:cs="Tahoma"/>
                <w:i w:val="0"/>
                <w:iCs w:val="0"/>
                <w:caps w:val="0"/>
                <w:color w:val="1A1A1A"/>
                <w:spacing w:val="0"/>
                <w:kern w:val="0"/>
                <w:sz w:val="19"/>
                <w:szCs w:val="19"/>
                <w:shd w:val="clear" w:fill="FFFFFF"/>
                <w:lang w:val="en-US" w:eastAsia="zh-CN" w:bidi="ar"/>
              </w:rPr>
              <w:t>Inclusione e contrasto alla dispersione scolastica</w:t>
            </w:r>
            <w:r>
              <w:rPr>
                <w:rFonts w:hint="default" w:ascii="Tahoma" w:hAnsi="Tahoma" w:eastAsia="Tahoma" w:cs="Tahoma"/>
                <w:i w:val="0"/>
                <w:iCs w:val="0"/>
                <w:caps w:val="0"/>
                <w:color w:val="1A1A1A"/>
                <w:spacing w:val="0"/>
                <w:kern w:val="0"/>
                <w:sz w:val="19"/>
                <w:szCs w:val="19"/>
                <w:shd w:val="clear" w:fill="FFFFFF"/>
                <w:lang w:val="it-IT" w:eastAsia="zh-CN" w:bidi="ar"/>
              </w:rPr>
              <w:t xml:space="preserve"> </w:t>
            </w:r>
            <w:r>
              <w:rPr>
                <w:rFonts w:ascii="Tahoma" w:hAnsi="Tahoma" w:eastAsia="Tahoma" w:cs="Tahoma"/>
                <w:i w:val="0"/>
                <w:iCs w:val="0"/>
                <w:caps w:val="0"/>
                <w:color w:val="1A1A1A"/>
                <w:spacing w:val="0"/>
                <w:sz w:val="19"/>
                <w:szCs w:val="19"/>
                <w:shd w:val="clear" w:fill="FFFFFF"/>
              </w:rPr>
              <w:t xml:space="preserve"> 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aps w:val="0"/>
                <w:color w:val="1A1A1A"/>
                <w:spacing w:val="0"/>
                <w:kern w:val="0"/>
                <w:sz w:val="19"/>
                <w:szCs w:val="19"/>
                <w:shd w:val="clear" w:fill="FFFFFF"/>
                <w:lang w:val="en-US" w:eastAsia="zh-CN" w:bidi="ar"/>
              </w:rPr>
              <w:t>Azione: ESO4.6.A1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aps w:val="0"/>
                <w:color w:val="1A1A1A"/>
                <w:spacing w:val="0"/>
                <w:kern w:val="0"/>
                <w:sz w:val="19"/>
                <w:szCs w:val="19"/>
                <w:shd w:val="clear" w:fill="FFFFFF"/>
                <w:lang w:val="it-IT" w:eastAsia="zh-CN" w:bidi="ar"/>
              </w:rPr>
              <w:t xml:space="preserve"> </w:t>
            </w:r>
            <w:r>
              <w:rPr>
                <w:rFonts w:ascii="Tahoma" w:hAnsi="Tahoma" w:eastAsia="Tahoma" w:cs="Tahoma"/>
                <w:i w:val="0"/>
                <w:iCs w:val="0"/>
                <w:caps w:val="0"/>
                <w:color w:val="1A1A1A"/>
                <w:spacing w:val="0"/>
                <w:sz w:val="19"/>
                <w:szCs w:val="19"/>
                <w:shd w:val="clear" w:fill="FFFFFF"/>
              </w:rPr>
              <w:t>del Programma nazionale “Scuola e competenze” per il periodo di programmazione 2021-2027, di seguito PN “Scuola e competenze” 2021-2027, fondo FSE+, col cofinanziamento dell’Unione europea</w:t>
            </w:r>
            <w:r>
              <w:rPr>
                <w:rFonts w:hint="default" w:ascii="Tahoma" w:hAnsi="Tahoma" w:eastAsia="Tahoma" w:cs="Tahoma"/>
                <w:i w:val="0"/>
                <w:iCs w:val="0"/>
                <w:caps w:val="0"/>
                <w:color w:val="1A1A1A"/>
                <w:spacing w:val="0"/>
                <w:sz w:val="19"/>
                <w:szCs w:val="19"/>
                <w:shd w:val="clear" w:fill="FFFFFF"/>
                <w:lang w:val="it-IT"/>
              </w:rPr>
              <w:t xml:space="preserve"> </w:t>
            </w:r>
            <w:r>
              <w:rPr>
                <w:rFonts w:hint="default" w:ascii="Tahoma" w:hAnsi="Tahoma" w:eastAsia="Tahoma" w:cs="Tahoma"/>
                <w:i w:val="0"/>
                <w:iCs w:val="0"/>
                <w:caps w:val="0"/>
                <w:color w:val="1A1A1A"/>
                <w:spacing w:val="0"/>
                <w:sz w:val="19"/>
                <w:szCs w:val="19"/>
                <w:shd w:val="clear" w:fill="FFFFFF"/>
              </w:rPr>
              <w:t>intende ampliare e sostenere l’offerta formativa con azioni specifiche volte a promuovere iniziative per gli apprendimenti, l’aggregazione, l’inclusione e la socialità, soprattutto nel periodo di sospensione estiva delle lezioni. Con le risorse stanziate le istituzioni scolastiche potranno realizzare in orario extracurricolare attività ricreative, di potenziamento delle competenze, di socialità, e attività ludiche, sportive, teatrali e, più in generale, iniziative che favoriscano l’aggregazione, l’inclusione, la socialità, l’accoglienza e la vita di gruppo usufruendo, in particolare, del periodo estivo e dei periodi di sospensione della didattica curricolare.</w:t>
            </w:r>
          </w:p>
          <w:p w14:paraId="0B6A2984">
            <w:pPr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12" w:lineRule="atLeast"/>
              <w:ind w:left="0" w:right="192" w:firstLine="0"/>
              <w:jc w:val="both"/>
              <w:rPr>
                <w:rFonts w:hint="default" w:ascii="Tahoma" w:hAnsi="Tahoma" w:eastAsia="Tahoma" w:cs="Tahoma"/>
                <w:i w:val="0"/>
                <w:iCs w:val="0"/>
                <w:caps w:val="0"/>
                <w:color w:val="1A1A1A"/>
                <w:spacing w:val="0"/>
                <w:sz w:val="19"/>
                <w:szCs w:val="19"/>
                <w:shd w:val="clear" w:fill="FFFFFF"/>
                <w:lang w:val="it-IT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aps w:val="0"/>
                <w:color w:val="1A1A1A"/>
                <w:spacing w:val="0"/>
                <w:kern w:val="0"/>
                <w:sz w:val="19"/>
                <w:szCs w:val="19"/>
                <w:shd w:val="clear" w:fill="FFFFFF"/>
                <w:lang w:val="en-US" w:eastAsia="zh-CN" w:bidi="ar"/>
              </w:rPr>
              <w:t>Sottoazione: ESO4.6.A4.A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aps w:val="0"/>
                <w:color w:val="1A1A1A"/>
                <w:spacing w:val="0"/>
                <w:kern w:val="0"/>
                <w:sz w:val="19"/>
                <w:szCs w:val="19"/>
                <w:shd w:val="clear" w:fill="FFFFFF"/>
                <w:lang w:val="it-IT" w:eastAsia="zh-CN" w:bidi="ar"/>
              </w:rPr>
              <w:t xml:space="preserve"> </w:t>
            </w:r>
            <w:r>
              <w:rPr>
                <w:rFonts w:hint="default" w:ascii="Tahoma" w:hAnsi="Tahoma" w:eastAsia="Tahoma" w:cs="Tahoma"/>
                <w:i w:val="0"/>
                <w:iCs w:val="0"/>
                <w:caps w:val="0"/>
                <w:color w:val="1A1A1A"/>
                <w:spacing w:val="0"/>
                <w:kern w:val="0"/>
                <w:sz w:val="19"/>
                <w:szCs w:val="19"/>
                <w:shd w:val="clear" w:fill="FFFFFF"/>
                <w:lang w:val="en-US" w:eastAsia="zh-CN" w:bidi="ar"/>
              </w:rPr>
              <w:t>Interventi di ampliamento del tempo scuola, di inclusione, di riduzione dei divari di apprendimento e territoriali, di contrasto alla dispersione scolastica, inclusi percorsi di motivazione allo studio</w:t>
            </w:r>
            <w:r>
              <w:rPr>
                <w:rFonts w:hint="default" w:ascii="Tahoma" w:hAnsi="Tahoma" w:eastAsia="Tahoma" w:cs="Tahoma"/>
                <w:i w:val="0"/>
                <w:iCs w:val="0"/>
                <w:caps w:val="0"/>
                <w:color w:val="1A1A1A"/>
                <w:spacing w:val="0"/>
                <w:kern w:val="0"/>
                <w:sz w:val="19"/>
                <w:szCs w:val="19"/>
                <w:shd w:val="clear" w:fill="FFFFFF"/>
                <w:lang w:val="it-IT" w:eastAsia="zh-CN" w:bidi="ar"/>
              </w:rPr>
              <w:t xml:space="preserve"> </w:t>
            </w:r>
            <w:r>
              <w:rPr>
                <w:rFonts w:hint="default" w:ascii="Tahoma" w:hAnsi="Tahoma" w:eastAsia="Tahoma" w:cs="Tahoma"/>
                <w:i w:val="0"/>
                <w:iCs w:val="0"/>
                <w:caps w:val="0"/>
                <w:color w:val="1A1A1A"/>
                <w:spacing w:val="0"/>
                <w:sz w:val="19"/>
                <w:szCs w:val="19"/>
                <w:shd w:val="clear" w:fill="FFFFFF"/>
                <w:lang w:val="it-IT"/>
              </w:rPr>
              <w:t xml:space="preserve">Titolo progetto “Talent Lab:Laboratori di lingue, creatività e innovazione per il successo formativo.” </w:t>
            </w:r>
            <w:r>
              <w:rPr>
                <w:rFonts w:hint="default" w:ascii="Tahoma" w:hAnsi="Tahoma" w:eastAsia="Tahoma" w:cs="Tahoma"/>
                <w:i w:val="0"/>
                <w:iCs w:val="0"/>
                <w:color w:val="1A1A1A"/>
                <w:spacing w:val="0"/>
                <w:sz w:val="19"/>
                <w:szCs w:val="19"/>
                <w:shd w:val="clear" w:fill="FFFFFF"/>
                <w:lang w:val="it-IT"/>
              </w:rPr>
              <w:t>C</w:t>
            </w:r>
            <w:r>
              <w:rPr>
                <w:rFonts w:hint="default" w:ascii="Tahoma" w:hAnsi="Tahoma" w:eastAsia="Tahoma" w:cs="Tahoma"/>
                <w:i w:val="0"/>
                <w:iCs w:val="0"/>
                <w:caps w:val="0"/>
                <w:color w:val="1A1A1A"/>
                <w:spacing w:val="0"/>
                <w:sz w:val="19"/>
                <w:szCs w:val="19"/>
                <w:shd w:val="clear" w:fill="FFFFFF"/>
                <w:lang w:val="it-IT"/>
              </w:rPr>
              <w:t>up D54D26003830007</w:t>
            </w:r>
          </w:p>
          <w:p w14:paraId="64AF4C1B">
            <w:pPr>
              <w:widowControl w:val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1A1A1A"/>
                <w:spacing w:val="0"/>
                <w:sz w:val="19"/>
                <w:szCs w:val="19"/>
                <w:shd w:val="clear" w:fill="FFFFFF"/>
              </w:rPr>
            </w:pPr>
          </w:p>
        </w:tc>
      </w:tr>
    </w:tbl>
    <w:p w14:paraId="08ADC846">
      <w:pPr>
        <w:spacing w:beforeLines="0" w:afterLines="0"/>
        <w:jc w:val="both"/>
        <w:rPr>
          <w:rFonts w:hint="default" w:ascii="Times New Roman" w:hAnsi="Times New Roman" w:eastAsia="Calibri-Bold" w:cs="Times New Roman"/>
          <w:color w:val="000000"/>
          <w:sz w:val="24"/>
          <w:szCs w:val="24"/>
        </w:rPr>
      </w:pPr>
    </w:p>
    <w:p w14:paraId="69868A11">
      <w:pPr>
        <w:spacing w:beforeLines="0" w:afterLines="0"/>
        <w:jc w:val="both"/>
        <w:rPr>
          <w:rFonts w:hint="default" w:ascii="Times New Roman" w:hAnsi="Times New Roman" w:eastAsia="Calibri-Bold" w:cs="Times New Roman"/>
          <w:color w:val="000000"/>
          <w:sz w:val="24"/>
          <w:szCs w:val="24"/>
        </w:rPr>
      </w:pPr>
    </w:p>
    <w:p w14:paraId="70DCA28D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Il sottoscritto __________________________________ Nato a ____________________ </w:t>
      </w:r>
    </w:p>
    <w:p w14:paraId="688A9F37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>il______________ Codice Fiscale __________________ residente a_________________</w:t>
      </w:r>
    </w:p>
    <w:p w14:paraId="3EF585A2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>______________ Provincia di _______ via ____________________________________</w:t>
      </w:r>
    </w:p>
    <w:p w14:paraId="5DA85B04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___ individuato in qualità di__________________________ nel progetto di cui in oggetto </w:t>
      </w:r>
    </w:p>
    <w:p w14:paraId="10D1D17E">
      <w:pPr>
        <w:spacing w:beforeLines="0" w:afterLines="0"/>
        <w:jc w:val="both"/>
        <w:rPr>
          <w:rFonts w:hint="default" w:ascii="Times New Roman" w:hAnsi="Times New Roman" w:eastAsia="Calibri-Bold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-Bold" w:cs="Times New Roman"/>
          <w:b/>
          <w:color w:val="000000"/>
          <w:sz w:val="24"/>
          <w:szCs w:val="24"/>
        </w:rPr>
        <w:t xml:space="preserve">DICHIARA </w:t>
      </w:r>
    </w:p>
    <w:p w14:paraId="3F8CD0AE">
      <w:pPr>
        <w:spacing w:beforeLines="0" w:afterLines="0"/>
        <w:jc w:val="both"/>
        <w:rPr>
          <w:rFonts w:hint="default" w:ascii="Times New Roman" w:hAnsi="Times New Roman" w:eastAsia="Calibri-Bold" w:cs="Times New Roman"/>
          <w:b/>
          <w:color w:val="000000"/>
          <w:sz w:val="24"/>
          <w:szCs w:val="24"/>
        </w:rPr>
      </w:pPr>
      <w:r>
        <w:rPr>
          <w:rFonts w:hint="default" w:ascii="Times New Roman" w:hAnsi="Times New Roman" w:eastAsia="Calibri-Bold" w:cs="Times New Roman"/>
          <w:b/>
          <w:color w:val="000000"/>
          <w:sz w:val="24"/>
          <w:szCs w:val="24"/>
        </w:rPr>
        <w:t>ai sensi dell’art. 75 del d.P.R. n. 445 del 28 dicembre 2000 consapevole degli artt. 46 e</w:t>
      </w:r>
    </w:p>
    <w:p w14:paraId="7768DB1D">
      <w:pPr>
        <w:spacing w:beforeLines="0" w:afterLines="0"/>
        <w:jc w:val="both"/>
        <w:rPr>
          <w:rFonts w:hint="default" w:ascii="Times New Roman" w:hAnsi="Times New Roman" w:eastAsia="Calibri-Bold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-Bold" w:cs="Times New Roman"/>
          <w:b/>
          <w:color w:val="000000"/>
          <w:sz w:val="24"/>
          <w:szCs w:val="24"/>
        </w:rPr>
        <w:t xml:space="preserve"> 47 del d.P.R. n. 445 del 28 dicembre 2000: </w:t>
      </w:r>
    </w:p>
    <w:p w14:paraId="3342E7C3">
      <w:pPr>
        <w:numPr>
          <w:ilvl w:val="0"/>
          <w:numId w:val="1"/>
        </w:num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>non trovarsi in situazione di incompatibilità, ai sensi di quanto previsto dal d.lgs. n. 39/2013</w:t>
      </w:r>
    </w:p>
    <w:p w14:paraId="4FCCC9AF">
      <w:pPr>
        <w:numPr>
          <w:ilvl w:val="0"/>
          <w:numId w:val="0"/>
        </w:num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e dall’art. 53, del d.lgs. n. 165/2001; </w:t>
      </w:r>
    </w:p>
    <w:p w14:paraId="7CF4137F">
      <w:pPr>
        <w:numPr>
          <w:ilvl w:val="0"/>
          <w:numId w:val="1"/>
        </w:numPr>
        <w:spacing w:beforeLines="0" w:afterLines="0"/>
        <w:ind w:left="0" w:leftChars="0" w:firstLine="0" w:firstLineChar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>di non avere, direttamente o indirettamente, un interesse finanziario, economico o altro</w:t>
      </w:r>
    </w:p>
    <w:p w14:paraId="4FB71DD2">
      <w:pPr>
        <w:numPr>
          <w:ilvl w:val="0"/>
          <w:numId w:val="0"/>
        </w:numPr>
        <w:spacing w:beforeLines="0" w:afterLines="0"/>
        <w:ind w:leftChar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 interesse personale nel procedimento in esame ai sensi e per gli effetti di quanto </w:t>
      </w:r>
    </w:p>
    <w:p w14:paraId="2BBD8A97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- non coinvolge interessi propri; </w:t>
      </w:r>
    </w:p>
    <w:p w14:paraId="71917934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- non coinvolge interessi di parenti, affini entro il secondo grado, del coniuge o di conviventi, </w:t>
      </w:r>
    </w:p>
    <w:p w14:paraId="3F9179F0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oppure di persone con le quali abbia rapporti di frequentazione abituale; </w:t>
      </w:r>
    </w:p>
    <w:p w14:paraId="73DA5860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- non coinvolge interessi di soggetti od organizzazioni con cui egli o il coniuge abbia causa </w:t>
      </w:r>
    </w:p>
    <w:p w14:paraId="0035808F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pendente o grave inimicizia o rapporti di credito o debito significativi; </w:t>
      </w:r>
    </w:p>
    <w:p w14:paraId="763B2CC8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>- non coinvolge interessi di soggetti od organizzazioni di cui sia tutore, curatore, procuratore</w:t>
      </w:r>
    </w:p>
    <w:p w14:paraId="5B4A395F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 o agente, titolare effettivo, ovvero di enti, associazioni anche non riconosciute, comitati, società o</w:t>
      </w:r>
    </w:p>
    <w:p w14:paraId="003C6653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 stabilimenti di cui sia amministratore o gerente o dirigente; </w:t>
      </w:r>
    </w:p>
    <w:p w14:paraId="257632FB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</w:p>
    <w:p w14:paraId="381540D2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>c) che non sussistono diverse ragioni di opportunità che si frappongano al conferimento dell’incarico</w:t>
      </w:r>
    </w:p>
    <w:p w14:paraId="5071C8FD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 in questione; </w:t>
      </w:r>
    </w:p>
    <w:p w14:paraId="4C2CB7A8">
      <w:pPr>
        <w:numPr>
          <w:ilvl w:val="0"/>
          <w:numId w:val="1"/>
        </w:numPr>
        <w:spacing w:beforeLines="0" w:afterLines="0"/>
        <w:ind w:left="0" w:leftChars="0" w:firstLine="0" w:firstLineChar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>di aver preso piena cognizione del D.M. 26 aprile 2022, n. 105, recante il Codice di</w:t>
      </w:r>
    </w:p>
    <w:p w14:paraId="1D73099B">
      <w:pPr>
        <w:numPr>
          <w:ilvl w:val="0"/>
          <w:numId w:val="0"/>
        </w:numPr>
        <w:spacing w:beforeLines="0" w:afterLines="0"/>
        <w:ind w:leftChar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Comportamento dei dipendenti del Ministero dell’istruzione e del merito; </w:t>
      </w:r>
    </w:p>
    <w:p w14:paraId="5A5AE818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e) di impegnarsi a comunicare tempestivamente all’Istituzione scolastica eventuali </w:t>
      </w:r>
    </w:p>
    <w:p w14:paraId="1AD79FC0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variazioni che dovessero intervenire nel corso dello svolgimento dell’incarico; </w:t>
      </w:r>
    </w:p>
    <w:p w14:paraId="6EC7E3DA">
      <w:pPr>
        <w:numPr>
          <w:ilvl w:val="0"/>
          <w:numId w:val="1"/>
        </w:numPr>
        <w:spacing w:beforeLines="0" w:afterLines="0"/>
        <w:ind w:left="0" w:leftChars="0" w:firstLine="0" w:firstLineChar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>di impegnarsi altresì a comunicare all’Istituzione scolastica qualsiasi altra circostanza</w:t>
      </w:r>
    </w:p>
    <w:p w14:paraId="39B309D1">
      <w:pPr>
        <w:numPr>
          <w:ilvl w:val="0"/>
          <w:numId w:val="0"/>
        </w:numPr>
        <w:spacing w:beforeLines="0" w:afterLines="0"/>
        <w:ind w:leftChar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sopravvenuta di carattere ostativo rispetto all’espletamento dell’incarico; </w:t>
      </w:r>
    </w:p>
    <w:p w14:paraId="14CAEAA1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>g) di essere stato informato, ai sensi dell’art. 13 del Regolamento (UE) 2016/679 del</w:t>
      </w:r>
    </w:p>
    <w:p w14:paraId="7EC67804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 Parlamento europeo e del Consiglio del 27 aprile 2016 e del decreto legislativo </w:t>
      </w:r>
    </w:p>
    <w:p w14:paraId="26100E19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30 giugno 2003, n. 196, circa il trattamento dei dati personali raccolti e, in particolare, </w:t>
      </w:r>
    </w:p>
    <w:p w14:paraId="7F3C6284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che tali dati saranno trattati, anche con strumenti informatici, esclusivamente per le </w:t>
      </w:r>
    </w:p>
    <w:p w14:paraId="16EC5E20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finalità per le quali le presenti dichiarazioni vengono rese e fornisce il relativo consenso. </w:t>
      </w:r>
    </w:p>
    <w:p w14:paraId="218211A6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</w:p>
    <w:p w14:paraId="2975F73C">
      <w:p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>Data___________________ Firma___</w:t>
      </w:r>
      <w:bookmarkStart w:id="0" w:name="_GoBack"/>
      <w:bookmarkEnd w:id="0"/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________________________________________ </w:t>
      </w:r>
    </w:p>
    <w:sectPr>
      <w:pgSz w:w="11920" w:h="17340"/>
      <w:pgMar w:top="1400" w:right="10" w:bottom="0" w:left="900" w:header="720" w:footer="720" w:gutter="0"/>
      <w:lnNumType w:countBy="0" w:distance="36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-Bold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E0BA75"/>
    <w:multiLevelType w:val="singleLevel"/>
    <w:tmpl w:val="64E0BA75"/>
    <w:lvl w:ilvl="0" w:tentative="0">
      <w:start w:val="1"/>
      <w:numFmt w:val="lowerLetter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69B45C5"/>
    <w:rsid w:val="67FC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SimSun" w:asciiTheme="minorHAnsi" w:hAnsiTheme="minorHAnsi" w:cstheme="minorBidi"/>
      <w:kern w:val="2"/>
      <w:sz w:val="21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Calibri" w:hAnsi="Calibri" w:eastAsia="Calibri" w:cstheme="minorBidi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435</Words>
  <Characters>2736</Characters>
  <Lines>0</Lines>
  <Paragraphs>0</Paragraphs>
  <TotalTime>0</TotalTime>
  <ScaleCrop>false</ScaleCrop>
  <LinksUpToDate>false</LinksUpToDate>
  <CharactersWithSpaces>3166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2026-10-10T20:34:00Z</dcterms:created>
  <dc:creator>Utente</dc:creator>
  <cp:lastModifiedBy>Angela Dorio</cp:lastModifiedBy>
  <dcterms:modified xsi:type="dcterms:W3CDTF">2026-10-13T09:47:37Z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KSOTemplateDocerSaveRecord">
    <vt:lpwstr>eyJoZGlkIjoiMjI3YmFkOTdhY2U4NzhmZjcyODgxYTVmNTM0NDg0MzQiLCJ1c2VySWQiOiIzNzI4MzgxOTkyOTIxIn0=</vt:lpwstr>
  </property>
  <property fmtid="{D5CDD505-2E9C-101B-9397-08002B2CF9AE}" pid="4" name="ICV">
    <vt:lpwstr>BC0AD70B539E47708EB3AD23D474680C_12</vt:lpwstr>
  </property>
</Properties>
</file>